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pPr w:leftFromText="180" w:rightFromText="180" w:horzAnchor="margin" w:tblpY="-696"/>
        <w:tblW w:w="9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6"/>
        <w:gridCol w:w="2271"/>
      </w:tblGrid>
      <w:tr w:rsidR="00143D1E" w:rsidRPr="006E77BD" w14:paraId="6A291FD4" w14:textId="77777777" w:rsidTr="00143D1E">
        <w:trPr>
          <w:trHeight w:val="15"/>
        </w:trPr>
        <w:tc>
          <w:tcPr>
            <w:tcW w:w="6886" w:type="dxa"/>
            <w:tcBorders>
              <w:right w:val="single" w:sz="6" w:space="0" w:color="08B99A"/>
            </w:tcBorders>
            <w:tcMar>
              <w:left w:w="0" w:type="dxa"/>
              <w:right w:w="0" w:type="dxa"/>
            </w:tcMar>
          </w:tcPr>
          <w:p w14:paraId="4E271110" w14:textId="4B47BED6" w:rsidR="00143D1E" w:rsidRPr="00EE74CD" w:rsidRDefault="00143D1E" w:rsidP="00143D1E">
            <w:pPr>
              <w:pStyle w:val="Osnovnitekst"/>
              <w:spacing w:line="240" w:lineRule="auto"/>
              <w:rPr>
                <w:rFonts w:ascii="Titillium Web" w:hAnsi="Titillium Web"/>
                <w:lang w:val="sl-SI"/>
              </w:rPr>
            </w:pPr>
            <w:r w:rsidRPr="00EE74CD">
              <w:rPr>
                <w:rFonts w:ascii="Titillium Web" w:hAnsi="Titillium Web"/>
                <w:lang w:val="sl-SI"/>
              </w:rPr>
              <w:t xml:space="preserve">                                                                                                </w:t>
            </w:r>
          </w:p>
        </w:tc>
        <w:tc>
          <w:tcPr>
            <w:tcW w:w="2271" w:type="dxa"/>
            <w:tcBorders>
              <w:left w:val="single" w:sz="6" w:space="0" w:color="08B99A"/>
              <w:right w:val="single" w:sz="6" w:space="0" w:color="08B99A"/>
            </w:tcBorders>
            <w:noWrap/>
            <w:tcMar>
              <w:left w:w="113" w:type="dxa"/>
              <w:bottom w:w="0" w:type="dxa"/>
              <w:right w:w="113" w:type="dxa"/>
            </w:tcMar>
            <w:vAlign w:val="center"/>
          </w:tcPr>
          <w:p w14:paraId="4BC6721F" w14:textId="77777777" w:rsidR="00143D1E" w:rsidRDefault="00143D1E" w:rsidP="00143D1E">
            <w:pPr>
              <w:pStyle w:val="Datum1"/>
              <w:spacing w:line="240" w:lineRule="auto"/>
              <w:rPr>
                <w:rFonts w:ascii="Titillium Web" w:hAnsi="Titillium Web"/>
                <w:color w:val="08B99A"/>
                <w:lang w:val="sl-SI"/>
              </w:rPr>
            </w:pPr>
            <w:r>
              <w:rPr>
                <w:rFonts w:ascii="Titillium Web" w:hAnsi="Titillium Web"/>
                <w:color w:val="08B99A"/>
                <w:lang w:val="sl-SI"/>
              </w:rPr>
              <w:t>26</w:t>
            </w:r>
            <w:r w:rsidRPr="00EE74CD">
              <w:rPr>
                <w:rFonts w:ascii="Titillium Web SemiBold" w:hAnsi="Titillium Web SemiBold"/>
                <w:color w:val="08B99A"/>
              </w:rPr>
              <w:t>–</w:t>
            </w:r>
            <w:r>
              <w:rPr>
                <w:rFonts w:ascii="Titillium Web" w:hAnsi="Titillium Web"/>
                <w:color w:val="08B99A"/>
                <w:lang w:val="sl-SI"/>
              </w:rPr>
              <w:t>28</w:t>
            </w:r>
            <w:r w:rsidRPr="00400525">
              <w:rPr>
                <w:rFonts w:ascii="Titillium Web" w:hAnsi="Titillium Web"/>
                <w:color w:val="08B99A"/>
                <w:lang w:val="sl-SI"/>
              </w:rPr>
              <w:t xml:space="preserve"> August 2022</w:t>
            </w:r>
          </w:p>
          <w:p w14:paraId="1714EAE7" w14:textId="77777777" w:rsidR="00143D1E" w:rsidRDefault="00143D1E" w:rsidP="00143D1E">
            <w:pPr>
              <w:pStyle w:val="Datum1"/>
              <w:spacing w:line="240" w:lineRule="auto"/>
              <w:rPr>
                <w:rFonts w:ascii="Titillium Web" w:hAnsi="Titillium Web"/>
                <w:color w:val="08B99A"/>
                <w:lang w:val="sl-SI"/>
              </w:rPr>
            </w:pPr>
            <w:r w:rsidRPr="00400525">
              <w:rPr>
                <w:rFonts w:ascii="Titillium Web" w:hAnsi="Titillium Web"/>
                <w:color w:val="08B99A"/>
                <w:lang w:val="sl-SI"/>
              </w:rPr>
              <w:t>Ljubljana, Slovenia</w:t>
            </w:r>
          </w:p>
          <w:p w14:paraId="18845904" w14:textId="77777777" w:rsidR="00143D1E" w:rsidRDefault="00143D1E" w:rsidP="00143D1E">
            <w:pPr>
              <w:pStyle w:val="Datum1"/>
              <w:spacing w:line="240" w:lineRule="auto"/>
              <w:rPr>
                <w:rFonts w:ascii="Titillium Web" w:hAnsi="Titillium Web"/>
                <w:color w:val="08B99A"/>
                <w:lang w:val="sl-SI"/>
              </w:rPr>
            </w:pPr>
            <w:r>
              <w:rPr>
                <w:rFonts w:ascii="Titillium Web" w:hAnsi="Titillium Web"/>
                <w:color w:val="08B99A"/>
                <w:lang w:val="sl-SI"/>
              </w:rPr>
              <w:t>29</w:t>
            </w:r>
            <w:r w:rsidRPr="00EE74CD">
              <w:rPr>
                <w:rFonts w:ascii="Titillium Web SemiBold" w:hAnsi="Titillium Web SemiBold"/>
                <w:color w:val="08B99A"/>
              </w:rPr>
              <w:t>–</w:t>
            </w:r>
            <w:r>
              <w:rPr>
                <w:rFonts w:ascii="Titillium Web" w:hAnsi="Titillium Web"/>
                <w:color w:val="08B99A"/>
                <w:lang w:val="sl-SI"/>
              </w:rPr>
              <w:t>30</w:t>
            </w:r>
            <w:r w:rsidRPr="00400525">
              <w:rPr>
                <w:rFonts w:ascii="Titillium Web" w:hAnsi="Titillium Web"/>
                <w:color w:val="08B99A"/>
                <w:lang w:val="sl-SI"/>
              </w:rPr>
              <w:t xml:space="preserve"> August</w:t>
            </w:r>
          </w:p>
          <w:p w14:paraId="2857B1AA" w14:textId="77777777" w:rsidR="00143D1E" w:rsidRDefault="00143D1E" w:rsidP="00143D1E">
            <w:pPr>
              <w:pStyle w:val="Datum1"/>
              <w:spacing w:line="240" w:lineRule="auto"/>
              <w:rPr>
                <w:rFonts w:ascii="Titillium Web" w:hAnsi="Titillium Web"/>
                <w:color w:val="08B99A"/>
                <w:lang w:val="sl-SI"/>
              </w:rPr>
            </w:pPr>
            <w:r>
              <w:rPr>
                <w:rFonts w:ascii="Titillium Web" w:hAnsi="Titillium Web"/>
                <w:color w:val="08B99A"/>
                <w:lang w:val="sl-SI"/>
              </w:rPr>
              <w:t>Bled, Slovenia</w:t>
            </w:r>
          </w:p>
          <w:p w14:paraId="47479DF9" w14:textId="77777777" w:rsidR="00143D1E" w:rsidRDefault="00143D1E" w:rsidP="00143D1E">
            <w:pPr>
              <w:pStyle w:val="Datum1"/>
              <w:spacing w:line="240" w:lineRule="auto"/>
              <w:rPr>
                <w:rFonts w:ascii="Titillium Web" w:hAnsi="Titillium Web"/>
                <w:color w:val="08B99A"/>
                <w:lang w:val="sl-SI"/>
              </w:rPr>
            </w:pPr>
          </w:p>
          <w:p w14:paraId="218443C8" w14:textId="77777777" w:rsidR="00143D1E" w:rsidRPr="006E77BD" w:rsidRDefault="00143D1E" w:rsidP="00143D1E">
            <w:pPr>
              <w:pStyle w:val="Datum1"/>
              <w:spacing w:line="240" w:lineRule="auto"/>
              <w:rPr>
                <w:rFonts w:ascii="Titillium Web" w:hAnsi="Titillium Web"/>
                <w:color w:val="08B99A"/>
                <w:lang w:val="sl-SI"/>
              </w:rPr>
            </w:pPr>
            <w:r w:rsidRPr="00400525">
              <w:rPr>
                <w:rFonts w:ascii="Titillium Web" w:hAnsi="Titillium Web"/>
                <w:color w:val="08B99A"/>
                <w:lang w:val="sl-SI"/>
              </w:rPr>
              <w:t>www.bledstrategicforum.org</w:t>
            </w:r>
          </w:p>
        </w:tc>
      </w:tr>
    </w:tbl>
    <w:p w14:paraId="5CD110E0" w14:textId="77777777" w:rsidR="00BC795D" w:rsidRDefault="00BC795D">
      <w:pPr>
        <w:rPr>
          <w:lang w:val="en-GB"/>
        </w:rPr>
      </w:pPr>
    </w:p>
    <w:p w14:paraId="33CEB900" w14:textId="73022837" w:rsidR="00193C3B" w:rsidRPr="00193C3B" w:rsidRDefault="00CD760A" w:rsidP="0064270B">
      <w:pPr>
        <w:pStyle w:val="NormaleWeb"/>
        <w:spacing w:before="0" w:beforeAutospacing="0" w:after="0" w:afterAutospacing="0"/>
        <w:jc w:val="center"/>
        <w:rPr>
          <w:rFonts w:ascii="Titillium Web" w:hAnsi="Titillium Web"/>
          <w:color w:val="0E101A"/>
        </w:rPr>
      </w:pPr>
      <w:r w:rsidRPr="00193C3B">
        <w:rPr>
          <w:rFonts w:ascii="Titillium Web" w:hAnsi="Titillium Web"/>
          <w:lang w:val="en-GB"/>
        </w:rPr>
        <w:t>CONTRIBUTING A PIECE OF THE PUZZLE, TO DEMOCRACIES FIT FOR THE NEW AGE</w:t>
      </w:r>
    </w:p>
    <w:p w14:paraId="1C9C0121" w14:textId="516E3C45" w:rsidR="00193C3B" w:rsidRDefault="00193C3B" w:rsidP="00193C3B">
      <w:pPr>
        <w:spacing w:after="0" w:line="240" w:lineRule="auto"/>
        <w:jc w:val="both"/>
        <w:rPr>
          <w:rFonts w:ascii="Titillium Web" w:eastAsia="Times New Roman" w:hAnsi="Titillium Web" w:cs="Times New Roman"/>
          <w:color w:val="0E101A"/>
          <w:sz w:val="24"/>
          <w:szCs w:val="24"/>
          <w:lang/>
        </w:rPr>
      </w:pPr>
    </w:p>
    <w:p w14:paraId="0D0B1111" w14:textId="2C074C26" w:rsidR="007835C7" w:rsidRPr="00EC6A85" w:rsidRDefault="007835C7" w:rsidP="007835C7">
      <w:pPr>
        <w:spacing w:after="0" w:line="240" w:lineRule="auto"/>
        <w:jc w:val="right"/>
        <w:rPr>
          <w:rFonts w:ascii="Titillium Web" w:eastAsia="Times New Roman" w:hAnsi="Titillium Web" w:cs="Times New Roman"/>
          <w:color w:val="0E101A"/>
          <w:lang w:val="en-GB"/>
        </w:rPr>
      </w:pPr>
      <w:r w:rsidRPr="00EC6A85">
        <w:rPr>
          <w:rFonts w:ascii="Titillium Web" w:eastAsia="Times New Roman" w:hAnsi="Titillium Web" w:cs="Times New Roman"/>
          <w:color w:val="0E101A"/>
          <w:lang w:val="en-GB"/>
        </w:rPr>
        <w:t xml:space="preserve">Ljubljana, </w:t>
      </w:r>
      <w:r w:rsidR="00397A89">
        <w:rPr>
          <w:rFonts w:ascii="Titillium Web" w:eastAsia="Times New Roman" w:hAnsi="Titillium Web" w:cs="Times New Roman"/>
          <w:color w:val="0E101A"/>
          <w:lang w:val="en-GB"/>
        </w:rPr>
        <w:t xml:space="preserve">19 </w:t>
      </w:r>
      <w:r w:rsidRPr="00EC6A85">
        <w:rPr>
          <w:rFonts w:ascii="Titillium Web" w:eastAsia="Times New Roman" w:hAnsi="Titillium Web" w:cs="Times New Roman"/>
          <w:color w:val="0E101A"/>
          <w:lang w:val="en-GB"/>
        </w:rPr>
        <w:t>August 2022</w:t>
      </w:r>
    </w:p>
    <w:p w14:paraId="393C06D7" w14:textId="77777777" w:rsidR="007835C7" w:rsidRPr="00193C3B" w:rsidRDefault="007835C7" w:rsidP="007835C7">
      <w:pPr>
        <w:spacing w:after="0" w:line="240" w:lineRule="auto"/>
        <w:jc w:val="right"/>
        <w:rPr>
          <w:rFonts w:ascii="Titillium Web" w:eastAsia="Times New Roman" w:hAnsi="Titillium Web" w:cs="Times New Roman"/>
          <w:color w:val="0E101A"/>
          <w:sz w:val="24"/>
          <w:szCs w:val="24"/>
          <w:lang w:val="en-GB"/>
        </w:rPr>
      </w:pPr>
    </w:p>
    <w:p w14:paraId="27E41772" w14:textId="4198A400" w:rsidR="00193C3B" w:rsidRPr="00193C3B" w:rsidRDefault="00193C3B" w:rsidP="00193C3B">
      <w:pPr>
        <w:spacing w:after="0" w:line="240" w:lineRule="auto"/>
        <w:jc w:val="both"/>
        <w:rPr>
          <w:rFonts w:ascii="Titillium Web" w:eastAsia="Times New Roman" w:hAnsi="Titillium Web" w:cs="Times New Roman"/>
          <w:color w:val="0E101A"/>
          <w:lang/>
        </w:rPr>
      </w:pPr>
      <w:r w:rsidRPr="00193C3B">
        <w:rPr>
          <w:rFonts w:ascii="Titillium Web" w:eastAsia="Times New Roman" w:hAnsi="Titillium Web" w:cs="Times New Roman"/>
          <w:color w:val="0E101A"/>
          <w:lang/>
        </w:rPr>
        <w:t xml:space="preserve">From </w:t>
      </w:r>
      <w:r w:rsidR="00397A89">
        <w:rPr>
          <w:rFonts w:ascii="Titillium Web" w:eastAsia="Times New Roman" w:hAnsi="Titillium Web" w:cs="Times New Roman"/>
          <w:color w:val="0E101A"/>
          <w:lang w:val="en-GB"/>
        </w:rPr>
        <w:t xml:space="preserve">26-27 August </w:t>
      </w:r>
      <w:r w:rsidR="00C43D61" w:rsidRPr="00EC6A85">
        <w:rPr>
          <w:rFonts w:ascii="Titillium Web" w:eastAsia="Times New Roman" w:hAnsi="Titillium Web" w:cs="Times New Roman"/>
          <w:color w:val="0E101A"/>
          <w:lang/>
        </w:rPr>
        <w:t>2022</w:t>
      </w:r>
      <w:r w:rsidRPr="00193C3B">
        <w:rPr>
          <w:rFonts w:ascii="Titillium Web" w:eastAsia="Times New Roman" w:hAnsi="Titillium Web" w:cs="Times New Roman"/>
          <w:color w:val="0E101A"/>
          <w:lang/>
        </w:rPr>
        <w:t xml:space="preserve">, Ljubljana and Bled (Slovenia) will be the hub of creativity, capacity building and cooperation within the 11th edition of the Young Bled Strategic Forum. Young leaders and experts </w:t>
      </w:r>
      <w:r w:rsidRPr="00193C3B">
        <w:rPr>
          <w:rFonts w:ascii="Titillium Web" w:eastAsia="Times New Roman" w:hAnsi="Titillium Web" w:cs="Times New Roman"/>
          <w:color w:val="000000" w:themeColor="text1"/>
          <w:lang/>
        </w:rPr>
        <w:t xml:space="preserve">from </w:t>
      </w:r>
      <w:r w:rsidR="001E23AE" w:rsidRPr="001E23AE">
        <w:rPr>
          <w:rFonts w:ascii="Titillium Web" w:eastAsia="Times New Roman" w:hAnsi="Titillium Web" w:cs="Times New Roman"/>
          <w:color w:val="000000" w:themeColor="text1"/>
          <w:lang w:val="en-GB"/>
        </w:rPr>
        <w:t>20</w:t>
      </w:r>
      <w:r w:rsidRPr="00193C3B">
        <w:rPr>
          <w:rFonts w:ascii="Titillium Web" w:eastAsia="Times New Roman" w:hAnsi="Titillium Web" w:cs="Times New Roman"/>
          <w:color w:val="000000" w:themeColor="text1"/>
          <w:lang/>
        </w:rPr>
        <w:t xml:space="preserve"> countries </w:t>
      </w:r>
      <w:r w:rsidRPr="00193C3B">
        <w:rPr>
          <w:rFonts w:ascii="Titillium Web" w:eastAsia="Times New Roman" w:hAnsi="Titillium Web" w:cs="Times New Roman"/>
          <w:color w:val="0E101A"/>
          <w:lang/>
        </w:rPr>
        <w:t xml:space="preserve">across and outside the Central European region, will be engaged in an intensive and dynamic programme constructed through panel discussions, workshops, training and interactive methods of work. Young BSF participants will continue their program and will be engaged in the activities of the </w:t>
      </w:r>
      <w:r w:rsidR="00397A89">
        <w:rPr>
          <w:rFonts w:ascii="Titillium Web" w:eastAsia="Times New Roman" w:hAnsi="Titillium Web" w:cs="Times New Roman"/>
          <w:color w:val="0E101A"/>
          <w:lang w:val="en-GB"/>
        </w:rPr>
        <w:t>17</w:t>
      </w:r>
      <w:r w:rsidR="00397A89" w:rsidRPr="00397A89">
        <w:rPr>
          <w:rFonts w:ascii="Titillium Web" w:eastAsia="Times New Roman" w:hAnsi="Titillium Web" w:cs="Times New Roman"/>
          <w:color w:val="0E101A"/>
          <w:vertAlign w:val="superscript"/>
          <w:lang w:val="en-GB"/>
        </w:rPr>
        <w:t>th</w:t>
      </w:r>
      <w:r w:rsidR="00397A89">
        <w:rPr>
          <w:rFonts w:ascii="Titillium Web" w:eastAsia="Times New Roman" w:hAnsi="Titillium Web" w:cs="Times New Roman"/>
          <w:color w:val="0E101A"/>
          <w:lang w:val="en-GB"/>
        </w:rPr>
        <w:t xml:space="preserve"> </w:t>
      </w:r>
      <w:r w:rsidRPr="00193C3B">
        <w:rPr>
          <w:rFonts w:ascii="Titillium Web" w:eastAsia="Times New Roman" w:hAnsi="Titillium Web" w:cs="Times New Roman"/>
          <w:color w:val="0E101A"/>
          <w:lang/>
        </w:rPr>
        <w:t>Bled Strategic Forum, taking place at Bled (Slovenia) between 29</w:t>
      </w:r>
      <w:r w:rsidR="00397A89">
        <w:rPr>
          <w:rFonts w:ascii="Titillium Web" w:eastAsia="Times New Roman" w:hAnsi="Titillium Web" w:cs="Times New Roman"/>
          <w:color w:val="0E101A"/>
          <w:lang w:val="en-GB"/>
        </w:rPr>
        <w:t>-</w:t>
      </w:r>
      <w:r w:rsidRPr="00193C3B">
        <w:rPr>
          <w:rFonts w:ascii="Titillium Web" w:eastAsia="Times New Roman" w:hAnsi="Titillium Web" w:cs="Times New Roman"/>
          <w:color w:val="0E101A"/>
          <w:lang/>
        </w:rPr>
        <w:t>30</w:t>
      </w:r>
      <w:r w:rsidR="00397A89">
        <w:rPr>
          <w:rFonts w:ascii="Titillium Web" w:eastAsia="Times New Roman" w:hAnsi="Titillium Web" w:cs="Times New Roman"/>
          <w:color w:val="0E101A"/>
          <w:vertAlign w:val="superscript"/>
          <w:lang w:val="en-GB"/>
        </w:rPr>
        <w:t xml:space="preserve"> </w:t>
      </w:r>
      <w:r w:rsidR="00397A89">
        <w:rPr>
          <w:rFonts w:ascii="Titillium Web" w:eastAsia="Times New Roman" w:hAnsi="Titillium Web" w:cs="Times New Roman"/>
          <w:color w:val="0E101A"/>
          <w:lang w:val="en-GB"/>
        </w:rPr>
        <w:t>August</w:t>
      </w:r>
      <w:r w:rsidR="00C43D61" w:rsidRPr="00EC6A85">
        <w:rPr>
          <w:rFonts w:ascii="Titillium Web" w:eastAsia="Times New Roman" w:hAnsi="Titillium Web" w:cs="Times New Roman"/>
          <w:color w:val="0E101A"/>
          <w:lang w:val="en-GB"/>
        </w:rPr>
        <w:t xml:space="preserve"> 2022</w:t>
      </w:r>
      <w:r w:rsidRPr="00193C3B">
        <w:rPr>
          <w:rFonts w:ascii="Titillium Web" w:eastAsia="Times New Roman" w:hAnsi="Titillium Web" w:cs="Times New Roman"/>
          <w:color w:val="0E101A"/>
          <w:lang/>
        </w:rPr>
        <w:t>, organised under the title</w:t>
      </w:r>
      <w:r w:rsidR="00397A89">
        <w:rPr>
          <w:rFonts w:ascii="Titillium Web" w:eastAsia="Times New Roman" w:hAnsi="Titillium Web" w:cs="Times New Roman"/>
          <w:color w:val="0E101A"/>
          <w:lang w:val="en-GB"/>
        </w:rPr>
        <w:t xml:space="preserve"> The Rule of</w:t>
      </w:r>
      <w:r w:rsidRPr="00193C3B">
        <w:rPr>
          <w:rFonts w:ascii="Titillium Web" w:eastAsia="Times New Roman" w:hAnsi="Titillium Web" w:cs="Times New Roman"/>
          <w:color w:val="0E101A"/>
          <w:lang/>
        </w:rPr>
        <w:t xml:space="preserve"> Power o</w:t>
      </w:r>
      <w:r w:rsidR="00397A89">
        <w:rPr>
          <w:rFonts w:ascii="Titillium Web" w:eastAsia="Times New Roman" w:hAnsi="Titillium Web" w:cs="Times New Roman"/>
          <w:color w:val="0E101A"/>
          <w:lang w:val="en-GB"/>
        </w:rPr>
        <w:t>r</w:t>
      </w:r>
      <w:r w:rsidRPr="00193C3B">
        <w:rPr>
          <w:rFonts w:ascii="Titillium Web" w:eastAsia="Times New Roman" w:hAnsi="Titillium Web" w:cs="Times New Roman"/>
          <w:color w:val="0E101A"/>
          <w:lang/>
        </w:rPr>
        <w:t xml:space="preserve"> </w:t>
      </w:r>
      <w:r w:rsidR="00397A89">
        <w:rPr>
          <w:rFonts w:ascii="Titillium Web" w:eastAsia="Times New Roman" w:hAnsi="Titillium Web" w:cs="Times New Roman"/>
          <w:color w:val="0E101A"/>
          <w:lang w:val="en-GB"/>
        </w:rPr>
        <w:t>Power</w:t>
      </w:r>
      <w:r w:rsidRPr="00193C3B">
        <w:rPr>
          <w:rFonts w:ascii="Titillium Web" w:eastAsia="Times New Roman" w:hAnsi="Titillium Web" w:cs="Times New Roman"/>
          <w:color w:val="0E101A"/>
          <w:lang/>
        </w:rPr>
        <w:t xml:space="preserve"> o</w:t>
      </w:r>
      <w:r w:rsidR="00397A89">
        <w:rPr>
          <w:rFonts w:ascii="Titillium Web" w:eastAsia="Times New Roman" w:hAnsi="Titillium Web" w:cs="Times New Roman"/>
          <w:color w:val="0E101A"/>
          <w:lang w:val="en-GB"/>
        </w:rPr>
        <w:t>f</w:t>
      </w:r>
      <w:r w:rsidRPr="00193C3B">
        <w:rPr>
          <w:rFonts w:ascii="Titillium Web" w:eastAsia="Times New Roman" w:hAnsi="Titillium Web" w:cs="Times New Roman"/>
          <w:color w:val="0E101A"/>
          <w:lang/>
        </w:rPr>
        <w:t xml:space="preserve"> Rules.</w:t>
      </w:r>
    </w:p>
    <w:p w14:paraId="74643CB0" w14:textId="77777777" w:rsidR="00193C3B" w:rsidRPr="00193C3B" w:rsidRDefault="00193C3B" w:rsidP="00193C3B">
      <w:pPr>
        <w:spacing w:after="0" w:line="240" w:lineRule="auto"/>
        <w:jc w:val="both"/>
        <w:rPr>
          <w:rFonts w:ascii="Titillium Web" w:eastAsia="Times New Roman" w:hAnsi="Titillium Web" w:cs="Times New Roman"/>
          <w:color w:val="0E101A"/>
          <w:lang/>
        </w:rPr>
      </w:pPr>
    </w:p>
    <w:p w14:paraId="447928B1" w14:textId="274DFF82" w:rsidR="00193C3B" w:rsidRPr="00EC6A85" w:rsidRDefault="00193C3B" w:rsidP="00193C3B">
      <w:pPr>
        <w:spacing w:after="0" w:line="240" w:lineRule="auto"/>
        <w:jc w:val="both"/>
        <w:rPr>
          <w:rFonts w:ascii="Titillium Web" w:eastAsia="Times New Roman" w:hAnsi="Titillium Web" w:cs="Times New Roman"/>
          <w:color w:val="0E101A"/>
          <w:lang/>
        </w:rPr>
      </w:pPr>
      <w:r w:rsidRPr="00193C3B">
        <w:rPr>
          <w:rFonts w:ascii="Titillium Web" w:eastAsia="Times New Roman" w:hAnsi="Titillium Web" w:cs="Times New Roman"/>
          <w:color w:val="0E101A"/>
          <w:lang/>
        </w:rPr>
        <w:t xml:space="preserve">The Bled Strategic Forum, one of the leading international conferences in Central and South-East Europe is an annual event organised jointly by the Ministry of Foreign Affairs of the Republic of Slovenia and the Centre for European Perspective. The programme activities and events support the cooperation of decision makers, </w:t>
      </w:r>
      <w:r w:rsidR="00F63355" w:rsidRPr="00EC6A85">
        <w:rPr>
          <w:rFonts w:ascii="Titillium Web" w:eastAsia="Times New Roman" w:hAnsi="Titillium Web" w:cs="Times New Roman"/>
          <w:color w:val="0E101A"/>
          <w:lang w:val="en-GB"/>
        </w:rPr>
        <w:t>a</w:t>
      </w:r>
      <w:r w:rsidRPr="00193C3B">
        <w:rPr>
          <w:rFonts w:ascii="Titillium Web" w:eastAsia="Times New Roman" w:hAnsi="Titillium Web" w:cs="Times New Roman"/>
          <w:color w:val="0E101A"/>
          <w:lang/>
        </w:rPr>
        <w:t xml:space="preserve">cademia, private sector representatives, media, non-governmental organisations and youth. Throughout the development of the BSF platform, high importance has been devoted to youth, recognised not only as our future but active citizens, that contribute to prosperity and progress within our societies today. Our </w:t>
      </w:r>
      <w:r w:rsidR="00240A8C">
        <w:rPr>
          <w:rFonts w:ascii="Titillium Web" w:eastAsia="Times New Roman" w:hAnsi="Titillium Web" w:cs="Times New Roman"/>
          <w:color w:val="0E101A"/>
          <w:lang w:val="en-GB"/>
        </w:rPr>
        <w:t>democracies</w:t>
      </w:r>
      <w:r w:rsidRPr="00193C3B">
        <w:rPr>
          <w:rFonts w:ascii="Titillium Web" w:eastAsia="Times New Roman" w:hAnsi="Titillium Web" w:cs="Times New Roman"/>
          <w:color w:val="0E101A"/>
          <w:lang/>
        </w:rPr>
        <w:t xml:space="preserve"> require open spaces for discussion and opportunities for youth to not only receive an equal seat at the table with decision-makers, but to be listened to, and heard. The Young Bled Strategic Forum was established to shift the scale in the favour of youth, their creativity and ideas. From modest beginnings as a panel discussion within the initial Bled Strategic Forum </w:t>
      </w:r>
      <w:r w:rsidR="00397A89">
        <w:rPr>
          <w:rFonts w:ascii="Titillium Web" w:eastAsia="Times New Roman" w:hAnsi="Titillium Web" w:cs="Times New Roman"/>
          <w:color w:val="0E101A"/>
          <w:lang w:val="en-GB"/>
        </w:rPr>
        <w:t>p</w:t>
      </w:r>
      <w:r w:rsidRPr="00193C3B">
        <w:rPr>
          <w:rFonts w:ascii="Titillium Web" w:eastAsia="Times New Roman" w:hAnsi="Titillium Web" w:cs="Times New Roman"/>
          <w:color w:val="0E101A"/>
          <w:lang/>
        </w:rPr>
        <w:t xml:space="preserve">latform, the Young BSF has grown into a three-day conference of young leaders, social activists, digital experts and </w:t>
      </w:r>
      <w:r w:rsidR="00397A89">
        <w:rPr>
          <w:rFonts w:ascii="Titillium Web" w:eastAsia="Times New Roman" w:hAnsi="Titillium Web" w:cs="Times New Roman"/>
          <w:color w:val="0E101A"/>
          <w:lang w:val="en-GB"/>
        </w:rPr>
        <w:t>(</w:t>
      </w:r>
      <w:r w:rsidRPr="00193C3B">
        <w:rPr>
          <w:rFonts w:ascii="Titillium Web" w:eastAsia="Times New Roman" w:hAnsi="Titillium Web" w:cs="Times New Roman"/>
          <w:color w:val="0E101A"/>
          <w:lang/>
        </w:rPr>
        <w:t>all</w:t>
      </w:r>
      <w:r w:rsidR="00397A89">
        <w:rPr>
          <w:rFonts w:ascii="Titillium Web" w:eastAsia="Times New Roman" w:hAnsi="Titillium Web" w:cs="Times New Roman"/>
          <w:color w:val="0E101A"/>
          <w:lang w:val="en-GB"/>
        </w:rPr>
        <w:t>)</w:t>
      </w:r>
      <w:r w:rsidRPr="00193C3B">
        <w:rPr>
          <w:rFonts w:ascii="Titillium Web" w:eastAsia="Times New Roman" w:hAnsi="Titillium Web" w:cs="Times New Roman"/>
          <w:color w:val="0E101A"/>
          <w:lang/>
        </w:rPr>
        <w:t xml:space="preserve"> young professionals.</w:t>
      </w:r>
    </w:p>
    <w:p w14:paraId="682FA71B" w14:textId="77777777" w:rsidR="00193C3B" w:rsidRPr="00193C3B" w:rsidRDefault="00193C3B" w:rsidP="00193C3B">
      <w:pPr>
        <w:spacing w:after="0" w:line="240" w:lineRule="auto"/>
        <w:jc w:val="both"/>
        <w:rPr>
          <w:rFonts w:ascii="Titillium Web" w:eastAsia="Times New Roman" w:hAnsi="Titillium Web" w:cs="Times New Roman"/>
          <w:color w:val="0E101A"/>
          <w:lang/>
        </w:rPr>
      </w:pPr>
    </w:p>
    <w:p w14:paraId="5CFE4514" w14:textId="51D28EB2" w:rsidR="007835C7" w:rsidRPr="00EC6A85" w:rsidRDefault="00193C3B" w:rsidP="00397A89">
      <w:pPr>
        <w:spacing w:after="0" w:line="240" w:lineRule="auto"/>
        <w:jc w:val="both"/>
        <w:rPr>
          <w:rFonts w:ascii="Titillium Web" w:eastAsia="Times New Roman" w:hAnsi="Titillium Web" w:cs="Times New Roman"/>
          <w:color w:val="0E101A"/>
          <w:lang/>
        </w:rPr>
      </w:pPr>
      <w:r w:rsidRPr="00193C3B">
        <w:rPr>
          <w:rFonts w:ascii="Titillium Web" w:eastAsia="Times New Roman" w:hAnsi="Titillium Web" w:cs="Times New Roman"/>
          <w:color w:val="0E101A"/>
          <w:lang/>
        </w:rPr>
        <w:t>This edition of the Young BSF will be organised under the title Democracy fit for the new age</w:t>
      </w:r>
      <w:r w:rsidR="00397A89">
        <w:rPr>
          <w:rFonts w:ascii="Titillium Web" w:eastAsia="Times New Roman" w:hAnsi="Titillium Web" w:cs="Times New Roman"/>
          <w:color w:val="0E101A"/>
          <w:lang w:val="en-GB"/>
        </w:rPr>
        <w:t>,</w:t>
      </w:r>
      <w:r w:rsidRPr="00193C3B">
        <w:rPr>
          <w:rFonts w:ascii="Titillium Web" w:eastAsia="Times New Roman" w:hAnsi="Titillium Web" w:cs="Times New Roman"/>
          <w:color w:val="0E101A"/>
          <w:lang/>
        </w:rPr>
        <w:t xml:space="preserve"> explor</w:t>
      </w:r>
      <w:proofErr w:type="spellStart"/>
      <w:r w:rsidR="00397A89">
        <w:rPr>
          <w:rFonts w:ascii="Titillium Web" w:eastAsia="Times New Roman" w:hAnsi="Titillium Web" w:cs="Times New Roman"/>
          <w:color w:val="0E101A"/>
          <w:lang w:val="en-GB"/>
        </w:rPr>
        <w:t>ing</w:t>
      </w:r>
      <w:proofErr w:type="spellEnd"/>
      <w:r w:rsidRPr="00193C3B">
        <w:rPr>
          <w:rFonts w:ascii="Titillium Web" w:eastAsia="Times New Roman" w:hAnsi="Titillium Web" w:cs="Times New Roman"/>
          <w:color w:val="0E101A"/>
          <w:lang/>
        </w:rPr>
        <w:t xml:space="preserve"> the challenges and opportunities within our societies, with an outlook toward higher resilience and prosperity in the future. The programme will explore four thematical pillars, each focus</w:t>
      </w:r>
      <w:proofErr w:type="spellStart"/>
      <w:r w:rsidR="00397A89">
        <w:rPr>
          <w:rFonts w:ascii="Titillium Web" w:eastAsia="Times New Roman" w:hAnsi="Titillium Web" w:cs="Times New Roman"/>
          <w:color w:val="0E101A"/>
          <w:lang w:val="en-GB"/>
        </w:rPr>
        <w:t>ing</w:t>
      </w:r>
      <w:proofErr w:type="spellEnd"/>
      <w:r w:rsidRPr="00193C3B">
        <w:rPr>
          <w:rFonts w:ascii="Titillium Web" w:eastAsia="Times New Roman" w:hAnsi="Titillium Web" w:cs="Times New Roman"/>
          <w:color w:val="0E101A"/>
          <w:lang/>
        </w:rPr>
        <w:t xml:space="preserve"> on a specific perspective:</w:t>
      </w:r>
    </w:p>
    <w:p w14:paraId="01A95EF8" w14:textId="77777777" w:rsidR="007835C7" w:rsidRPr="00EC6A85" w:rsidRDefault="007835C7" w:rsidP="007835C7">
      <w:pPr>
        <w:spacing w:after="0" w:line="240" w:lineRule="auto"/>
        <w:ind w:left="720"/>
        <w:jc w:val="both"/>
        <w:rPr>
          <w:rFonts w:ascii="Titillium Web" w:eastAsia="Times New Roman" w:hAnsi="Titillium Web" w:cs="Times New Roman"/>
          <w:color w:val="0E101A"/>
          <w:lang/>
        </w:rPr>
      </w:pPr>
    </w:p>
    <w:p w14:paraId="4846B409" w14:textId="393D1516" w:rsidR="00143D1E" w:rsidRPr="00193C3B" w:rsidRDefault="00193C3B" w:rsidP="00AE5498">
      <w:pPr>
        <w:numPr>
          <w:ilvl w:val="0"/>
          <w:numId w:val="2"/>
        </w:numPr>
        <w:spacing w:after="0" w:line="240" w:lineRule="auto"/>
        <w:jc w:val="both"/>
        <w:rPr>
          <w:rFonts w:ascii="Titillium Web" w:eastAsia="Times New Roman" w:hAnsi="Titillium Web" w:cs="Times New Roman"/>
          <w:color w:val="0E101A"/>
          <w:lang/>
        </w:rPr>
      </w:pPr>
      <w:r w:rsidRPr="00193C3B">
        <w:rPr>
          <w:rFonts w:ascii="Titillium Web" w:eastAsia="Times New Roman" w:hAnsi="Titillium Web" w:cs="Times New Roman"/>
          <w:color w:val="0E101A"/>
          <w:lang/>
        </w:rPr>
        <w:t>Media literacy and information society</w:t>
      </w:r>
      <w:r w:rsidR="00F94290">
        <w:rPr>
          <w:rFonts w:ascii="Titillium Web" w:eastAsia="Times New Roman" w:hAnsi="Titillium Web" w:cs="Times New Roman"/>
          <w:color w:val="0E101A"/>
          <w:lang w:val="en-GB"/>
        </w:rPr>
        <w:t xml:space="preserve"> - </w:t>
      </w:r>
      <w:r w:rsidRPr="00193C3B">
        <w:rPr>
          <w:rFonts w:ascii="Titillium Web" w:eastAsia="Times New Roman" w:hAnsi="Titillium Web" w:cs="Times New Roman"/>
          <w:color w:val="0E101A"/>
          <w:lang/>
        </w:rPr>
        <w:t>with close attention to the challenges of disinformation, misinformation, the importance of free media and support for information integrity as a backbone for strong and resilient democracies. </w:t>
      </w:r>
    </w:p>
    <w:p w14:paraId="3F4338DE" w14:textId="77FECBF8" w:rsidR="00193C3B" w:rsidRDefault="00193C3B" w:rsidP="00193C3B">
      <w:pPr>
        <w:numPr>
          <w:ilvl w:val="0"/>
          <w:numId w:val="2"/>
        </w:numPr>
        <w:spacing w:after="0" w:line="240" w:lineRule="auto"/>
        <w:jc w:val="both"/>
        <w:rPr>
          <w:rFonts w:ascii="Titillium Web" w:eastAsia="Times New Roman" w:hAnsi="Titillium Web" w:cs="Times New Roman"/>
          <w:color w:val="0E101A"/>
          <w:lang/>
        </w:rPr>
      </w:pPr>
      <w:r w:rsidRPr="00193C3B">
        <w:rPr>
          <w:rFonts w:ascii="Titillium Web" w:eastAsia="Times New Roman" w:hAnsi="Titillium Web" w:cs="Times New Roman"/>
          <w:color w:val="0E101A"/>
          <w:lang/>
        </w:rPr>
        <w:t>Prosperity through diversity</w:t>
      </w:r>
      <w:r w:rsidR="00F94290">
        <w:rPr>
          <w:rFonts w:ascii="Titillium Web" w:eastAsia="Times New Roman" w:hAnsi="Titillium Web" w:cs="Times New Roman"/>
          <w:color w:val="0E101A"/>
          <w:lang w:val="en-GB"/>
        </w:rPr>
        <w:t xml:space="preserve"> - </w:t>
      </w:r>
      <w:r w:rsidRPr="00193C3B">
        <w:rPr>
          <w:rFonts w:ascii="Titillium Web" w:eastAsia="Times New Roman" w:hAnsi="Titillium Web" w:cs="Times New Roman"/>
          <w:color w:val="0E101A"/>
          <w:lang/>
        </w:rPr>
        <w:t>contributing to an open discussion on all aspects of diversity, on the basis of gender, ethnicity, nationality, age and other societal divisions that result in unjust polarisation and marginalisation. </w:t>
      </w:r>
    </w:p>
    <w:p w14:paraId="79BDF013" w14:textId="06B00716" w:rsidR="00397A89" w:rsidRDefault="00397A89" w:rsidP="00397A89">
      <w:pPr>
        <w:spacing w:after="0" w:line="240" w:lineRule="auto"/>
        <w:jc w:val="both"/>
        <w:rPr>
          <w:rFonts w:ascii="Titillium Web" w:eastAsia="Times New Roman" w:hAnsi="Titillium Web" w:cs="Times New Roman"/>
          <w:color w:val="0E101A"/>
          <w:lang/>
        </w:rPr>
      </w:pPr>
    </w:p>
    <w:p w14:paraId="2A0C85F9" w14:textId="3D7C7707" w:rsidR="00397A89" w:rsidRDefault="00397A89" w:rsidP="00397A89">
      <w:pPr>
        <w:spacing w:after="0" w:line="240" w:lineRule="auto"/>
        <w:jc w:val="both"/>
        <w:rPr>
          <w:rFonts w:ascii="Titillium Web" w:eastAsia="Times New Roman" w:hAnsi="Titillium Web" w:cs="Times New Roman"/>
          <w:color w:val="0E101A"/>
          <w:lang/>
        </w:rPr>
      </w:pPr>
    </w:p>
    <w:p w14:paraId="6AEF0BA7" w14:textId="6F9EE3C6" w:rsidR="00397A89" w:rsidRDefault="00397A89" w:rsidP="00397A89">
      <w:pPr>
        <w:spacing w:after="0" w:line="240" w:lineRule="auto"/>
        <w:jc w:val="both"/>
        <w:rPr>
          <w:rFonts w:ascii="Titillium Web" w:eastAsia="Times New Roman" w:hAnsi="Titillium Web" w:cs="Times New Roman"/>
          <w:color w:val="0E101A"/>
          <w:lang/>
        </w:rPr>
      </w:pPr>
    </w:p>
    <w:p w14:paraId="3D952887" w14:textId="77777777" w:rsidR="00397A89" w:rsidRPr="00193C3B" w:rsidRDefault="00397A89" w:rsidP="00397A89">
      <w:pPr>
        <w:spacing w:after="0" w:line="240" w:lineRule="auto"/>
        <w:jc w:val="both"/>
        <w:rPr>
          <w:rFonts w:ascii="Titillium Web" w:eastAsia="Times New Roman" w:hAnsi="Titillium Web" w:cs="Times New Roman"/>
          <w:color w:val="0E101A"/>
          <w:lang/>
        </w:rPr>
      </w:pPr>
    </w:p>
    <w:p w14:paraId="10E97152" w14:textId="14CB0C3A" w:rsidR="00193C3B" w:rsidRPr="00193C3B" w:rsidRDefault="00193C3B" w:rsidP="00193C3B">
      <w:pPr>
        <w:numPr>
          <w:ilvl w:val="0"/>
          <w:numId w:val="2"/>
        </w:numPr>
        <w:spacing w:after="0" w:line="240" w:lineRule="auto"/>
        <w:jc w:val="both"/>
        <w:rPr>
          <w:rFonts w:ascii="Titillium Web" w:eastAsia="Times New Roman" w:hAnsi="Titillium Web" w:cs="Times New Roman"/>
          <w:color w:val="0E101A"/>
          <w:lang/>
        </w:rPr>
      </w:pPr>
      <w:r w:rsidRPr="00193C3B">
        <w:rPr>
          <w:rFonts w:ascii="Titillium Web" w:eastAsia="Times New Roman" w:hAnsi="Titillium Web" w:cs="Times New Roman"/>
          <w:color w:val="0E101A"/>
          <w:lang/>
        </w:rPr>
        <w:t>Mirror, mirror on the wall, who’s the fairest of them all?</w:t>
      </w:r>
      <w:r w:rsidR="00F94290">
        <w:rPr>
          <w:rFonts w:ascii="Titillium Web" w:eastAsia="Times New Roman" w:hAnsi="Titillium Web" w:cs="Times New Roman"/>
          <w:color w:val="0E101A"/>
          <w:lang w:val="en-GB"/>
        </w:rPr>
        <w:t xml:space="preserve"> - </w:t>
      </w:r>
      <w:r w:rsidRPr="00193C3B">
        <w:rPr>
          <w:rFonts w:ascii="Titillium Web" w:eastAsia="Times New Roman" w:hAnsi="Titillium Web" w:cs="Times New Roman"/>
          <w:color w:val="0E101A"/>
          <w:lang/>
        </w:rPr>
        <w:t xml:space="preserve">holding a mirror up to our democracies, paying attention to all its features, institutional structures, democratic </w:t>
      </w:r>
      <w:proofErr w:type="gramStart"/>
      <w:r w:rsidRPr="00193C3B">
        <w:rPr>
          <w:rFonts w:ascii="Titillium Web" w:eastAsia="Times New Roman" w:hAnsi="Titillium Web" w:cs="Times New Roman"/>
          <w:color w:val="0E101A"/>
          <w:lang/>
        </w:rPr>
        <w:t>principles</w:t>
      </w:r>
      <w:proofErr w:type="gramEnd"/>
      <w:r w:rsidRPr="00193C3B">
        <w:rPr>
          <w:rFonts w:ascii="Titillium Web" w:eastAsia="Times New Roman" w:hAnsi="Titillium Web" w:cs="Times New Roman"/>
          <w:color w:val="0E101A"/>
          <w:lang/>
        </w:rPr>
        <w:t xml:space="preserve"> and values. How do our standards, wishes and trust change over time, but also what challenges are identified? And ultimately, is democracy still the fairest of them all?. </w:t>
      </w:r>
    </w:p>
    <w:p w14:paraId="66AD1401" w14:textId="1CA7891D" w:rsidR="00193C3B" w:rsidRPr="00193C3B" w:rsidRDefault="00193C3B" w:rsidP="00193C3B">
      <w:pPr>
        <w:numPr>
          <w:ilvl w:val="0"/>
          <w:numId w:val="2"/>
        </w:numPr>
        <w:spacing w:after="0" w:line="240" w:lineRule="auto"/>
        <w:jc w:val="both"/>
        <w:rPr>
          <w:rFonts w:ascii="Titillium Web" w:eastAsia="Times New Roman" w:hAnsi="Titillium Web" w:cs="Times New Roman"/>
          <w:color w:val="0E101A"/>
          <w:lang/>
        </w:rPr>
      </w:pPr>
      <w:r w:rsidRPr="00193C3B">
        <w:rPr>
          <w:rFonts w:ascii="Titillium Web" w:eastAsia="Times New Roman" w:hAnsi="Titillium Web" w:cs="Times New Roman"/>
          <w:color w:val="0E101A"/>
          <w:lang/>
        </w:rPr>
        <w:t>Joint solutions for joint challenges</w:t>
      </w:r>
      <w:r w:rsidR="00F94290">
        <w:rPr>
          <w:rFonts w:ascii="Titillium Web" w:eastAsia="Times New Roman" w:hAnsi="Titillium Web" w:cs="Times New Roman"/>
          <w:color w:val="0E101A"/>
          <w:lang w:val="en-GB"/>
        </w:rPr>
        <w:t xml:space="preserve"> - </w:t>
      </w:r>
      <w:r w:rsidRPr="00193C3B">
        <w:rPr>
          <w:rFonts w:ascii="Titillium Web" w:eastAsia="Times New Roman" w:hAnsi="Titillium Web" w:cs="Times New Roman"/>
          <w:color w:val="0E101A"/>
          <w:lang/>
        </w:rPr>
        <w:t>discovering democratic values in a transnational environment, through multilateralism and cross-sector cooperation on challenges that can not/should not be tackled in isolation, in order to yield evident and more prosperous common results on the local, regional and international levels.  </w:t>
      </w:r>
    </w:p>
    <w:p w14:paraId="5A604949" w14:textId="77777777" w:rsidR="00193C3B" w:rsidRPr="00193C3B" w:rsidRDefault="00193C3B" w:rsidP="00193C3B">
      <w:pPr>
        <w:spacing w:after="0" w:line="240" w:lineRule="auto"/>
        <w:jc w:val="both"/>
        <w:rPr>
          <w:rFonts w:ascii="Titillium Web" w:eastAsia="Times New Roman" w:hAnsi="Titillium Web" w:cs="Times New Roman"/>
          <w:color w:val="0E101A"/>
          <w:lang/>
        </w:rPr>
      </w:pPr>
    </w:p>
    <w:p w14:paraId="3AE86A2F" w14:textId="3A58019F" w:rsidR="00193C3B" w:rsidRPr="00EC6A85" w:rsidRDefault="00193C3B" w:rsidP="00193C3B">
      <w:pPr>
        <w:spacing w:after="0" w:line="240" w:lineRule="auto"/>
        <w:jc w:val="both"/>
        <w:rPr>
          <w:rFonts w:ascii="Titillium Web" w:eastAsia="Times New Roman" w:hAnsi="Titillium Web" w:cs="Times New Roman"/>
          <w:color w:val="0E101A"/>
          <w:lang/>
        </w:rPr>
      </w:pPr>
      <w:r w:rsidRPr="00193C3B">
        <w:rPr>
          <w:rFonts w:ascii="Titillium Web" w:eastAsia="Times New Roman" w:hAnsi="Titillium Web" w:cs="Times New Roman"/>
          <w:color w:val="0E101A"/>
          <w:lang/>
        </w:rPr>
        <w:t xml:space="preserve">Participants of the Young BSF will participate in panel discussions, dynamic workshops and comprehensive cross-sector exchanges of opinions in order to contribute to the critical analysis of democratic functions within our societies, define visions for democracies fit for and resilient against </w:t>
      </w:r>
      <w:r w:rsidR="00F94290">
        <w:rPr>
          <w:rFonts w:ascii="Titillium Web" w:eastAsia="Times New Roman" w:hAnsi="Titillium Web" w:cs="Times New Roman"/>
          <w:color w:val="0E101A"/>
          <w:lang w:val="en-GB"/>
        </w:rPr>
        <w:t>present and future challenges</w:t>
      </w:r>
      <w:r w:rsidRPr="00193C3B">
        <w:rPr>
          <w:rFonts w:ascii="Titillium Web" w:eastAsia="Times New Roman" w:hAnsi="Titillium Web" w:cs="Times New Roman"/>
          <w:color w:val="0E101A"/>
          <w:lang/>
        </w:rPr>
        <w:t>, and improve the well-being of our democracies as ambassadors within their (local, national, regional and transnational) environment.</w:t>
      </w:r>
    </w:p>
    <w:p w14:paraId="084C52D9" w14:textId="77777777" w:rsidR="00193C3B" w:rsidRPr="00193C3B" w:rsidRDefault="00193C3B" w:rsidP="00193C3B">
      <w:pPr>
        <w:spacing w:after="0" w:line="240" w:lineRule="auto"/>
        <w:jc w:val="both"/>
        <w:rPr>
          <w:rFonts w:ascii="Titillium Web" w:eastAsia="Times New Roman" w:hAnsi="Titillium Web" w:cs="Times New Roman"/>
          <w:color w:val="0E101A"/>
          <w:lang/>
        </w:rPr>
      </w:pPr>
    </w:p>
    <w:p w14:paraId="013E5FCD" w14:textId="7B05DF23" w:rsidR="00193C3B" w:rsidRPr="00193C3B" w:rsidRDefault="00193C3B" w:rsidP="00193C3B">
      <w:pPr>
        <w:spacing w:after="0" w:line="240" w:lineRule="auto"/>
        <w:jc w:val="both"/>
        <w:rPr>
          <w:rFonts w:ascii="Titillium Web" w:eastAsia="Times New Roman" w:hAnsi="Titillium Web" w:cs="Times New Roman"/>
          <w:color w:val="0E101A"/>
          <w:lang/>
        </w:rPr>
      </w:pPr>
      <w:r w:rsidRPr="00193C3B">
        <w:rPr>
          <w:rFonts w:ascii="Titillium Web" w:eastAsia="Times New Roman" w:hAnsi="Titillium Web" w:cs="Times New Roman"/>
          <w:color w:val="0E101A"/>
          <w:lang/>
        </w:rPr>
        <w:t>The programme activities are supported by the Central European Initiative</w:t>
      </w:r>
      <w:r w:rsidR="00D070ED" w:rsidRPr="00EC6A85">
        <w:rPr>
          <w:rFonts w:ascii="Titillium Web" w:eastAsia="Times New Roman" w:hAnsi="Titillium Web" w:cs="Times New Roman"/>
          <w:color w:val="0E101A"/>
          <w:lang w:val="en-GB"/>
        </w:rPr>
        <w:t xml:space="preserve"> (CEI)</w:t>
      </w:r>
      <w:r w:rsidRPr="00193C3B">
        <w:rPr>
          <w:rFonts w:ascii="Titillium Web" w:eastAsia="Times New Roman" w:hAnsi="Titillium Web" w:cs="Times New Roman"/>
          <w:color w:val="0E101A"/>
          <w:lang/>
        </w:rPr>
        <w:t>, the Danube Transnational Programme and Priority Area 10 ´Institutional capacity and cooperation</w:t>
      </w:r>
      <w:r w:rsidR="00D070ED" w:rsidRPr="00EC6A85">
        <w:rPr>
          <w:rFonts w:ascii="Titillium Web" w:eastAsia="Times New Roman" w:hAnsi="Titillium Web" w:cs="Times New Roman"/>
          <w:color w:val="0E101A"/>
          <w:lang w:val="en-GB"/>
        </w:rPr>
        <w:t>´</w:t>
      </w:r>
      <w:r w:rsidRPr="00193C3B">
        <w:rPr>
          <w:rFonts w:ascii="Titillium Web" w:eastAsia="Times New Roman" w:hAnsi="Titillium Web" w:cs="Times New Roman"/>
          <w:color w:val="0E101A"/>
          <w:lang/>
        </w:rPr>
        <w:t xml:space="preserve"> within the European Union Strategy for the Danube Region (EUSDR), the Interreg </w:t>
      </w:r>
      <w:r w:rsidR="00D070ED" w:rsidRPr="00EC6A85">
        <w:rPr>
          <w:rFonts w:ascii="Titillium Web" w:eastAsia="Times New Roman" w:hAnsi="Titillium Web" w:cs="Times New Roman"/>
          <w:color w:val="0E101A"/>
          <w:lang w:val="en-GB"/>
        </w:rPr>
        <w:t>ADRION</w:t>
      </w:r>
      <w:r w:rsidRPr="00193C3B">
        <w:rPr>
          <w:rFonts w:ascii="Titillium Web" w:eastAsia="Times New Roman" w:hAnsi="Titillium Web" w:cs="Times New Roman"/>
          <w:color w:val="0E101A"/>
          <w:lang/>
        </w:rPr>
        <w:t xml:space="preserve"> </w:t>
      </w:r>
      <w:r w:rsidR="00D070ED" w:rsidRPr="00EC6A85">
        <w:rPr>
          <w:rFonts w:ascii="Titillium Web" w:eastAsia="Times New Roman" w:hAnsi="Titillium Web" w:cs="Times New Roman"/>
          <w:color w:val="0E101A"/>
          <w:lang w:val="en-GB"/>
        </w:rPr>
        <w:t>P</w:t>
      </w:r>
      <w:r w:rsidRPr="00193C3B">
        <w:rPr>
          <w:rFonts w:ascii="Titillium Web" w:eastAsia="Times New Roman" w:hAnsi="Titillium Web" w:cs="Times New Roman"/>
          <w:color w:val="0E101A"/>
          <w:lang/>
        </w:rPr>
        <w:t>rogramme and European Union Strategy for the Adriatic</w:t>
      </w:r>
      <w:r w:rsidR="00D070ED" w:rsidRPr="00EC6A85">
        <w:rPr>
          <w:rFonts w:ascii="Titillium Web" w:eastAsia="Times New Roman" w:hAnsi="Titillium Web" w:cs="Times New Roman"/>
          <w:color w:val="0E101A"/>
          <w:lang w:val="en-GB"/>
        </w:rPr>
        <w:t>-</w:t>
      </w:r>
      <w:r w:rsidRPr="00193C3B">
        <w:rPr>
          <w:rFonts w:ascii="Titillium Web" w:eastAsia="Times New Roman" w:hAnsi="Titillium Web" w:cs="Times New Roman"/>
          <w:color w:val="0E101A"/>
          <w:lang/>
        </w:rPr>
        <w:t xml:space="preserve">Ionian Region (EUSAIR) Facility </w:t>
      </w:r>
      <w:r w:rsidR="00D070ED" w:rsidRPr="00EC6A85">
        <w:rPr>
          <w:rFonts w:ascii="Titillium Web" w:eastAsia="Times New Roman" w:hAnsi="Titillium Web" w:cs="Times New Roman"/>
          <w:color w:val="0E101A"/>
          <w:lang w:val="en-GB"/>
        </w:rPr>
        <w:t>p</w:t>
      </w:r>
      <w:r w:rsidRPr="00193C3B">
        <w:rPr>
          <w:rFonts w:ascii="Titillium Web" w:eastAsia="Times New Roman" w:hAnsi="Titillium Web" w:cs="Times New Roman"/>
          <w:color w:val="0E101A"/>
          <w:lang/>
        </w:rPr>
        <w:t xml:space="preserve">oint and the insurance company Triglav </w:t>
      </w:r>
      <w:r w:rsidR="00240A8C">
        <w:rPr>
          <w:rFonts w:ascii="Titillium Web" w:eastAsia="Times New Roman" w:hAnsi="Titillium Web" w:cs="Times New Roman"/>
          <w:color w:val="0E101A"/>
          <w:lang w:val="en-GB"/>
        </w:rPr>
        <w:t>d</w:t>
      </w:r>
      <w:r w:rsidRPr="00193C3B">
        <w:rPr>
          <w:rFonts w:ascii="Titillium Web" w:eastAsia="Times New Roman" w:hAnsi="Titillium Web" w:cs="Times New Roman"/>
          <w:color w:val="0E101A"/>
          <w:lang/>
        </w:rPr>
        <w:t>.</w:t>
      </w:r>
      <w:r w:rsidR="00240A8C">
        <w:rPr>
          <w:rFonts w:ascii="Titillium Web" w:eastAsia="Times New Roman" w:hAnsi="Titillium Web" w:cs="Times New Roman"/>
          <w:color w:val="0E101A"/>
          <w:lang w:val="en-GB"/>
        </w:rPr>
        <w:t>d</w:t>
      </w:r>
      <w:r w:rsidRPr="00193C3B">
        <w:rPr>
          <w:rFonts w:ascii="Titillium Web" w:eastAsia="Times New Roman" w:hAnsi="Titillium Web" w:cs="Times New Roman"/>
          <w:color w:val="0E101A"/>
          <w:lang/>
        </w:rPr>
        <w:t>. (Zavarovalnica Triglav d.d.)</w:t>
      </w:r>
    </w:p>
    <w:p w14:paraId="07620350" w14:textId="4AC6EBDA" w:rsidR="00BC795D" w:rsidRDefault="00BC795D">
      <w:pPr>
        <w:rPr>
          <w:lang w:val="en-GB"/>
        </w:rPr>
      </w:pPr>
    </w:p>
    <w:p w14:paraId="1D9B5E80" w14:textId="3036DBED" w:rsidR="00143D1E" w:rsidRDefault="00EC6A85">
      <w:pPr>
        <w:rPr>
          <w:lang w:val="en-GB"/>
        </w:rPr>
      </w:pPr>
      <w:r w:rsidRPr="00EC6A85">
        <w:rPr>
          <w:noProof/>
          <w:lang w:val="en-GB"/>
        </w:rPr>
        <w:drawing>
          <wp:anchor distT="0" distB="0" distL="114300" distR="114300" simplePos="0" relativeHeight="251658240" behindDoc="1" locked="0" layoutInCell="1" allowOverlap="1" wp14:anchorId="175001A0" wp14:editId="6A3778BE">
            <wp:simplePos x="0" y="0"/>
            <wp:positionH relativeFrom="column">
              <wp:posOffset>396240</wp:posOffset>
            </wp:positionH>
            <wp:positionV relativeFrom="paragraph">
              <wp:posOffset>113030</wp:posOffset>
            </wp:positionV>
            <wp:extent cx="4815840" cy="2415540"/>
            <wp:effectExtent l="0" t="0" r="3810" b="3810"/>
            <wp:wrapTight wrapText="bothSides">
              <wp:wrapPolygon edited="0">
                <wp:start x="0" y="0"/>
                <wp:lineTo x="0" y="21464"/>
                <wp:lineTo x="21532" y="21464"/>
                <wp:lineTo x="2153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15840" cy="2415540"/>
                    </a:xfrm>
                    <a:prstGeom prst="rect">
                      <a:avLst/>
                    </a:prstGeom>
                    <a:noFill/>
                    <a:ln>
                      <a:noFill/>
                    </a:ln>
                  </pic:spPr>
                </pic:pic>
              </a:graphicData>
            </a:graphic>
          </wp:anchor>
        </w:drawing>
      </w:r>
    </w:p>
    <w:p w14:paraId="47C365A7" w14:textId="2E32853B" w:rsidR="00143D1E" w:rsidRDefault="00143D1E">
      <w:pPr>
        <w:rPr>
          <w:lang w:val="en-GB"/>
        </w:rPr>
      </w:pPr>
    </w:p>
    <w:sectPr w:rsidR="00143D1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F3CB7" w14:textId="77777777" w:rsidR="003145C3" w:rsidRDefault="003145C3" w:rsidP="00143D1E">
      <w:pPr>
        <w:spacing w:after="0" w:line="240" w:lineRule="auto"/>
      </w:pPr>
      <w:r>
        <w:separator/>
      </w:r>
    </w:p>
  </w:endnote>
  <w:endnote w:type="continuationSeparator" w:id="0">
    <w:p w14:paraId="7F72F865" w14:textId="77777777" w:rsidR="003145C3" w:rsidRDefault="003145C3" w:rsidP="00143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tillium">
    <w:altName w:val="Calibri"/>
    <w:panose1 w:val="00000000000000000000"/>
    <w:charset w:val="4D"/>
    <w:family w:val="auto"/>
    <w:notTrueType/>
    <w:pitch w:val="variable"/>
    <w:sig w:usb0="00000007" w:usb1="00000001" w:usb2="00000000" w:usb3="00000000" w:csb0="00000093" w:csb1="00000000"/>
  </w:font>
  <w:font w:name="MinionPro-Regular">
    <w:altName w:val="Calibri"/>
    <w:panose1 w:val="00000000000000000000"/>
    <w:charset w:val="4D"/>
    <w:family w:val="auto"/>
    <w:notTrueType/>
    <w:pitch w:val="default"/>
    <w:sig w:usb0="00000003" w:usb1="00000000" w:usb2="00000000" w:usb3="00000000" w:csb0="00000001" w:csb1="00000000"/>
  </w:font>
  <w:font w:name="Titillium Web">
    <w:charset w:val="00"/>
    <w:family w:val="auto"/>
    <w:pitch w:val="variable"/>
    <w:sig w:usb0="00000007" w:usb1="00000001" w:usb2="00000000" w:usb3="00000000" w:csb0="00000093" w:csb1="00000000"/>
  </w:font>
  <w:font w:name="Titillium Web SemiBold">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C97BA" w14:textId="77777777" w:rsidR="00143D1E" w:rsidRPr="001B0482" w:rsidRDefault="00143D1E" w:rsidP="00143D1E">
    <w:pPr>
      <w:pStyle w:val="Pidipagina"/>
      <w:rPr>
        <w:rFonts w:ascii="MinionPro-Regular" w:hAnsi="MinionPro-Regular" w:cs="MinionPro-Regular"/>
        <w:color w:val="08B99A"/>
        <w:sz w:val="14"/>
        <w:szCs w:val="14"/>
      </w:rPr>
    </w:pPr>
    <w:r w:rsidRPr="001B0482">
      <w:rPr>
        <w:rFonts w:ascii="MinionPro-Regular" w:hAnsi="MinionPro-Regular" w:cs="MinionPro-Regular"/>
        <w:color w:val="08B99A"/>
        <w:sz w:val="14"/>
        <w:szCs w:val="14"/>
      </w:rPr>
      <w:t>Young Bled Strategic Forum | Blejski strateški forum za mlade</w:t>
    </w:r>
  </w:p>
  <w:p w14:paraId="07656762" w14:textId="77777777" w:rsidR="00143D1E" w:rsidRPr="001B0482" w:rsidRDefault="00143D1E" w:rsidP="00143D1E">
    <w:pPr>
      <w:pStyle w:val="Pidipagina"/>
      <w:rPr>
        <w:rFonts w:ascii="MinionPro-Regular" w:hAnsi="MinionPro-Regular" w:cs="MinionPro-Regular"/>
        <w:color w:val="08B99A"/>
        <w:sz w:val="14"/>
        <w:szCs w:val="14"/>
      </w:rPr>
    </w:pPr>
    <w:r w:rsidRPr="001B0482">
      <w:rPr>
        <w:rFonts w:ascii="MinionPro-Regular" w:hAnsi="MinionPro-Regular" w:cs="MinionPro-Regular"/>
        <w:color w:val="08B99A"/>
        <w:sz w:val="14"/>
        <w:szCs w:val="14"/>
      </w:rPr>
      <w:t>young@bledstrategicforum.org | #YoungBSF</w:t>
    </w:r>
    <w:r>
      <w:rPr>
        <w:rFonts w:ascii="MinionPro-Regular" w:hAnsi="MinionPro-Regular" w:cs="MinionPro-Regular"/>
        <w:color w:val="08B99A"/>
        <w:sz w:val="14"/>
        <w:szCs w:val="14"/>
      </w:rPr>
      <w:t xml:space="preserve"> #BSF2022</w:t>
    </w:r>
  </w:p>
  <w:p w14:paraId="77386958" w14:textId="77777777" w:rsidR="00143D1E" w:rsidRDefault="00143D1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3AD1F" w14:textId="77777777" w:rsidR="003145C3" w:rsidRDefault="003145C3" w:rsidP="00143D1E">
      <w:pPr>
        <w:spacing w:after="0" w:line="240" w:lineRule="auto"/>
      </w:pPr>
      <w:r>
        <w:separator/>
      </w:r>
    </w:p>
  </w:footnote>
  <w:footnote w:type="continuationSeparator" w:id="0">
    <w:p w14:paraId="192AC6DC" w14:textId="77777777" w:rsidR="003145C3" w:rsidRDefault="003145C3" w:rsidP="00143D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CEEA3" w14:textId="2EB1FC98" w:rsidR="00143D1E" w:rsidRDefault="00143D1E">
    <w:pPr>
      <w:pStyle w:val="Intestazione"/>
    </w:pPr>
    <w:r>
      <w:rPr>
        <w:noProof/>
        <w:lang w:val="en-US"/>
      </w:rPr>
      <w:drawing>
        <wp:anchor distT="0" distB="0" distL="114300" distR="114300" simplePos="0" relativeHeight="251659264" behindDoc="1" locked="0" layoutInCell="1" allowOverlap="1" wp14:anchorId="7D341561" wp14:editId="4454AD50">
          <wp:simplePos x="0" y="0"/>
          <wp:positionH relativeFrom="page">
            <wp:align>left</wp:align>
          </wp:positionH>
          <wp:positionV relativeFrom="paragraph">
            <wp:posOffset>-450215</wp:posOffset>
          </wp:positionV>
          <wp:extent cx="2566800" cy="3758400"/>
          <wp:effectExtent l="0" t="0" r="5080" b="0"/>
          <wp:wrapNone/>
          <wp:docPr id="16" name="Picture 16"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iagram&#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566800" cy="37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42F4"/>
    <w:multiLevelType w:val="hybridMultilevel"/>
    <w:tmpl w:val="A80C43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4F3F599A"/>
    <w:multiLevelType w:val="multilevel"/>
    <w:tmpl w:val="42A8B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1377388">
    <w:abstractNumId w:val="0"/>
  </w:num>
  <w:num w:numId="2" w16cid:durableId="1277906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C73"/>
    <w:rsid w:val="000101BF"/>
    <w:rsid w:val="000C0161"/>
    <w:rsid w:val="00126FCB"/>
    <w:rsid w:val="00143D1E"/>
    <w:rsid w:val="00184A05"/>
    <w:rsid w:val="00193C3B"/>
    <w:rsid w:val="001E23AE"/>
    <w:rsid w:val="00240A8C"/>
    <w:rsid w:val="003145C3"/>
    <w:rsid w:val="00397A89"/>
    <w:rsid w:val="00430546"/>
    <w:rsid w:val="0064270B"/>
    <w:rsid w:val="006A037C"/>
    <w:rsid w:val="007835C7"/>
    <w:rsid w:val="0080372A"/>
    <w:rsid w:val="00951C73"/>
    <w:rsid w:val="00A24614"/>
    <w:rsid w:val="00A95A1B"/>
    <w:rsid w:val="00AC629C"/>
    <w:rsid w:val="00BC795D"/>
    <w:rsid w:val="00BD305F"/>
    <w:rsid w:val="00C314B0"/>
    <w:rsid w:val="00C43D61"/>
    <w:rsid w:val="00CC6C6C"/>
    <w:rsid w:val="00CD760A"/>
    <w:rsid w:val="00D070ED"/>
    <w:rsid w:val="00E02E2F"/>
    <w:rsid w:val="00E551CB"/>
    <w:rsid w:val="00E959D3"/>
    <w:rsid w:val="00EC6A85"/>
    <w:rsid w:val="00F63355"/>
    <w:rsid w:val="00F9429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A4C89"/>
  <w15:chartTrackingRefBased/>
  <w15:docId w15:val="{5ACA3726-C970-4759-AE99-0C986D98A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551CB"/>
    <w:pPr>
      <w:ind w:left="720"/>
      <w:contextualSpacing/>
    </w:pPr>
  </w:style>
  <w:style w:type="paragraph" w:styleId="NormaleWeb">
    <w:name w:val="Normal (Web)"/>
    <w:basedOn w:val="Normale"/>
    <w:uiPriority w:val="99"/>
    <w:semiHidden/>
    <w:unhideWhenUsed/>
    <w:rsid w:val="00193C3B"/>
    <w:pPr>
      <w:spacing w:before="100" w:beforeAutospacing="1" w:after="100" w:afterAutospacing="1" w:line="240" w:lineRule="auto"/>
    </w:pPr>
    <w:rPr>
      <w:rFonts w:ascii="Times New Roman" w:eastAsia="Times New Roman" w:hAnsi="Times New Roman" w:cs="Times New Roman"/>
      <w:sz w:val="24"/>
      <w:szCs w:val="24"/>
      <w:lang/>
    </w:rPr>
  </w:style>
  <w:style w:type="paragraph" w:styleId="Intestazione">
    <w:name w:val="header"/>
    <w:basedOn w:val="Normale"/>
    <w:link w:val="IntestazioneCarattere"/>
    <w:uiPriority w:val="99"/>
    <w:unhideWhenUsed/>
    <w:rsid w:val="00143D1E"/>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143D1E"/>
  </w:style>
  <w:style w:type="paragraph" w:styleId="Pidipagina">
    <w:name w:val="footer"/>
    <w:basedOn w:val="Normale"/>
    <w:link w:val="PidipaginaCarattere"/>
    <w:uiPriority w:val="99"/>
    <w:unhideWhenUsed/>
    <w:rsid w:val="00143D1E"/>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143D1E"/>
  </w:style>
  <w:style w:type="paragraph" w:customStyle="1" w:styleId="Osnovnitekst">
    <w:name w:val="Osnovni tekst"/>
    <w:basedOn w:val="Normale"/>
    <w:qFormat/>
    <w:rsid w:val="00143D1E"/>
    <w:pPr>
      <w:autoSpaceDE w:val="0"/>
      <w:autoSpaceDN w:val="0"/>
      <w:adjustRightInd w:val="0"/>
      <w:spacing w:after="0" w:line="320" w:lineRule="exact"/>
      <w:textAlignment w:val="center"/>
    </w:pPr>
    <w:rPr>
      <w:rFonts w:ascii="Titillium" w:hAnsi="Titillium" w:cs="MinionPro-Regular"/>
      <w:color w:val="000000"/>
      <w:sz w:val="20"/>
      <w:szCs w:val="20"/>
      <w:lang w:val="en-GB"/>
    </w:rPr>
  </w:style>
  <w:style w:type="table" w:styleId="Grigliatabella">
    <w:name w:val="Table Grid"/>
    <w:basedOn w:val="Tabellanormale"/>
    <w:uiPriority w:val="39"/>
    <w:rsid w:val="00143D1E"/>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um1">
    <w:name w:val="Datum1"/>
    <w:basedOn w:val="Osnovnitekst"/>
    <w:qFormat/>
    <w:rsid w:val="00143D1E"/>
    <w:pPr>
      <w:spacing w:line="160" w:lineRule="exact"/>
    </w:pPr>
    <w:rPr>
      <w:spacing w:val="1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78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670</Words>
  <Characters>3823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 Grahor</dc:creator>
  <cp:keywords/>
  <dc:description/>
  <cp:lastModifiedBy>Tania Pibernik</cp:lastModifiedBy>
  <cp:revision>2</cp:revision>
  <cp:lastPrinted>2022-08-19T20:04:00Z</cp:lastPrinted>
  <dcterms:created xsi:type="dcterms:W3CDTF">2022-08-30T09:46:00Z</dcterms:created>
  <dcterms:modified xsi:type="dcterms:W3CDTF">2022-08-30T09:46:00Z</dcterms:modified>
</cp:coreProperties>
</file>