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DF" w:rsidRPr="008A09DF" w:rsidRDefault="008A09DF" w:rsidP="00DA1ABF">
      <w:pPr>
        <w:jc w:val="center"/>
        <w:rPr>
          <w:rFonts w:asciiTheme="majorHAnsi" w:eastAsia="Times New Roman" w:hAnsiTheme="majorHAnsi" w:cstheme="majorHAnsi"/>
          <w:b/>
          <w:bCs/>
          <w:color w:val="0070C0"/>
          <w:sz w:val="36"/>
          <w:szCs w:val="36"/>
          <w:lang w:val="en-GB" w:eastAsia="en-GB"/>
        </w:rPr>
      </w:pPr>
    </w:p>
    <w:p w:rsidR="008A09DF" w:rsidRDefault="008A09DF" w:rsidP="00DA1ABF">
      <w:pPr>
        <w:jc w:val="center"/>
        <w:rPr>
          <w:rFonts w:asciiTheme="majorHAnsi" w:eastAsia="Times New Roman" w:hAnsiTheme="majorHAnsi" w:cstheme="majorHAnsi"/>
          <w:b/>
          <w:bCs/>
          <w:color w:val="0070C0"/>
          <w:sz w:val="34"/>
          <w:szCs w:val="34"/>
          <w:lang w:val="en-GB" w:eastAsia="en-GB"/>
        </w:rPr>
      </w:pPr>
    </w:p>
    <w:p w:rsidR="00DA1ABF" w:rsidRPr="008A09DF" w:rsidRDefault="00DA1ABF" w:rsidP="00DA1ABF">
      <w:pPr>
        <w:jc w:val="center"/>
        <w:rPr>
          <w:rFonts w:asciiTheme="majorHAnsi" w:eastAsia="Times New Roman" w:hAnsiTheme="majorHAnsi" w:cstheme="majorHAnsi"/>
          <w:b/>
          <w:bCs/>
          <w:color w:val="0070C0"/>
          <w:sz w:val="34"/>
          <w:szCs w:val="34"/>
          <w:lang w:val="en-GB" w:eastAsia="en-GB"/>
        </w:rPr>
      </w:pPr>
      <w:r w:rsidRPr="008A09DF">
        <w:rPr>
          <w:rFonts w:asciiTheme="majorHAnsi" w:eastAsia="Times New Roman" w:hAnsiTheme="majorHAnsi" w:cstheme="majorHAnsi"/>
          <w:b/>
          <w:bCs/>
          <w:color w:val="0070C0"/>
          <w:sz w:val="34"/>
          <w:szCs w:val="34"/>
          <w:lang w:val="en-GB" w:eastAsia="en-GB"/>
        </w:rPr>
        <w:t>Social Enterprise Transnational Advocacy Network</w:t>
      </w:r>
    </w:p>
    <w:p w:rsidR="00DA1ABF" w:rsidRPr="008A09DF" w:rsidRDefault="00DA1ABF" w:rsidP="00DA1ABF">
      <w:pPr>
        <w:jc w:val="center"/>
        <w:rPr>
          <w:rFonts w:asciiTheme="majorHAnsi" w:eastAsia="Times New Roman" w:hAnsiTheme="majorHAnsi" w:cstheme="majorHAnsi"/>
          <w:b/>
          <w:bCs/>
          <w:color w:val="0070C0"/>
          <w:sz w:val="34"/>
          <w:szCs w:val="34"/>
          <w:lang w:val="en-GB" w:eastAsia="en-GB"/>
        </w:rPr>
      </w:pPr>
      <w:r w:rsidRPr="008A09DF">
        <w:rPr>
          <w:rFonts w:asciiTheme="majorHAnsi" w:eastAsia="Times New Roman" w:hAnsiTheme="majorHAnsi" w:cstheme="majorHAnsi"/>
          <w:b/>
          <w:bCs/>
          <w:color w:val="0070C0"/>
          <w:sz w:val="34"/>
          <w:szCs w:val="34"/>
          <w:lang w:val="en-GB" w:eastAsia="en-GB"/>
        </w:rPr>
        <w:t>(SETAN)</w:t>
      </w:r>
    </w:p>
    <w:p w:rsidR="00DA1ABF" w:rsidRPr="008A09DF" w:rsidRDefault="00DA1ABF" w:rsidP="00DA1ABF">
      <w:pPr>
        <w:jc w:val="center"/>
        <w:rPr>
          <w:rFonts w:asciiTheme="majorHAnsi" w:eastAsia="Times New Roman" w:hAnsiTheme="majorHAnsi" w:cstheme="majorHAnsi"/>
          <w:b/>
          <w:bCs/>
          <w:color w:val="0070C0"/>
          <w:sz w:val="34"/>
          <w:szCs w:val="34"/>
          <w:lang w:val="en-GB" w:eastAsia="en-GB"/>
        </w:rPr>
      </w:pPr>
    </w:p>
    <w:p w:rsidR="00DA1ABF" w:rsidRPr="008A09DF" w:rsidRDefault="00DA1ABF" w:rsidP="00DA1ABF">
      <w:pPr>
        <w:jc w:val="center"/>
        <w:rPr>
          <w:rFonts w:asciiTheme="majorHAnsi" w:eastAsia="Times New Roman" w:hAnsiTheme="majorHAnsi" w:cstheme="majorHAnsi"/>
          <w:b/>
          <w:bCs/>
          <w:color w:val="0070C0"/>
          <w:sz w:val="34"/>
          <w:szCs w:val="34"/>
          <w:lang w:val="en-GB" w:eastAsia="en-GB"/>
        </w:rPr>
      </w:pPr>
      <w:r w:rsidRPr="008A09DF">
        <w:rPr>
          <w:rFonts w:asciiTheme="majorHAnsi" w:eastAsia="Times New Roman" w:hAnsiTheme="majorHAnsi" w:cstheme="majorHAnsi"/>
          <w:b/>
          <w:bCs/>
          <w:color w:val="0070C0"/>
          <w:sz w:val="34"/>
          <w:szCs w:val="34"/>
          <w:lang w:val="en-GB" w:eastAsia="en-GB"/>
        </w:rPr>
        <w:t>Webinar “Social enterprises and COVID-19”</w:t>
      </w:r>
    </w:p>
    <w:p w:rsidR="00DA1ABF" w:rsidRPr="008A09DF" w:rsidRDefault="00DA1ABF" w:rsidP="00DA1ABF">
      <w:pPr>
        <w:jc w:val="center"/>
        <w:rPr>
          <w:rFonts w:asciiTheme="majorHAnsi" w:eastAsia="Times New Roman" w:hAnsiTheme="majorHAnsi" w:cstheme="majorHAnsi"/>
          <w:b/>
          <w:bCs/>
          <w:color w:val="0070C0"/>
          <w:sz w:val="34"/>
          <w:szCs w:val="34"/>
          <w:lang w:val="en-GB" w:eastAsia="en-GB"/>
        </w:rPr>
      </w:pPr>
    </w:p>
    <w:p w:rsidR="00DA1ABF" w:rsidRPr="008A09DF" w:rsidRDefault="00DA1ABF" w:rsidP="00DA1ABF">
      <w:pPr>
        <w:jc w:val="center"/>
        <w:rPr>
          <w:rFonts w:asciiTheme="majorHAnsi" w:eastAsia="Times New Roman" w:hAnsiTheme="majorHAnsi" w:cstheme="majorHAnsi"/>
          <w:sz w:val="34"/>
          <w:szCs w:val="34"/>
          <w:lang w:val="en-GB" w:eastAsia="en-GB"/>
        </w:rPr>
      </w:pPr>
      <w:r w:rsidRPr="008A09DF">
        <w:rPr>
          <w:rFonts w:asciiTheme="majorHAnsi" w:eastAsia="Times New Roman" w:hAnsiTheme="majorHAnsi" w:cstheme="majorHAnsi"/>
          <w:sz w:val="34"/>
          <w:szCs w:val="34"/>
          <w:lang w:val="en-GB" w:eastAsia="en-GB"/>
        </w:rPr>
        <w:t>10 November 2020</w:t>
      </w:r>
    </w:p>
    <w:p w:rsidR="00DA1ABF" w:rsidRDefault="00DA1ABF" w:rsidP="00DA1ABF">
      <w:pPr>
        <w:jc w:val="center"/>
        <w:rPr>
          <w:rFonts w:asciiTheme="majorHAnsi" w:eastAsia="Times New Roman" w:hAnsiTheme="majorHAnsi" w:cstheme="majorHAnsi"/>
          <w:sz w:val="34"/>
          <w:szCs w:val="34"/>
          <w:lang w:val="en-GB" w:eastAsia="en-GB"/>
        </w:rPr>
      </w:pPr>
      <w:r w:rsidRPr="008A09DF">
        <w:rPr>
          <w:rFonts w:asciiTheme="majorHAnsi" w:eastAsia="Times New Roman" w:hAnsiTheme="majorHAnsi" w:cstheme="majorHAnsi"/>
          <w:sz w:val="34"/>
          <w:szCs w:val="34"/>
          <w:lang w:val="en-GB" w:eastAsia="en-GB"/>
        </w:rPr>
        <w:t>10.00 – 11.00 am</w:t>
      </w:r>
    </w:p>
    <w:p w:rsidR="00273AFB" w:rsidRPr="00273AFB" w:rsidRDefault="00273AFB" w:rsidP="00273AFB">
      <w:pPr>
        <w:jc w:val="center"/>
        <w:rPr>
          <w:rFonts w:asciiTheme="majorHAnsi" w:eastAsia="Times New Roman" w:hAnsiTheme="majorHAnsi" w:cstheme="majorHAnsi"/>
          <w:b/>
          <w:bCs/>
          <w:i/>
          <w:iCs/>
          <w:color w:val="000000" w:themeColor="text1"/>
          <w:sz w:val="24"/>
          <w:szCs w:val="24"/>
          <w:u w:val="single"/>
          <w:lang w:val="en-GB" w:eastAsia="en-GB"/>
        </w:rPr>
      </w:pPr>
      <w:r w:rsidRPr="00273AFB">
        <w:rPr>
          <w:rFonts w:asciiTheme="majorHAnsi" w:eastAsia="Times New Roman" w:hAnsiTheme="majorHAnsi" w:cstheme="majorHAnsi"/>
          <w:b/>
          <w:bCs/>
          <w:i/>
          <w:iCs/>
          <w:color w:val="000000" w:themeColor="text1"/>
          <w:sz w:val="24"/>
          <w:szCs w:val="24"/>
          <w:u w:val="single"/>
          <w:lang w:val="en-GB" w:eastAsia="en-GB"/>
        </w:rPr>
        <w:t xml:space="preserve">To register and to receive the link for participating in the webinar send an email to: </w:t>
      </w:r>
      <w:r w:rsidRPr="00273AFB">
        <w:rPr>
          <w:rFonts w:asciiTheme="majorHAnsi" w:eastAsia="Times New Roman" w:hAnsiTheme="majorHAnsi" w:cstheme="majorHAnsi"/>
          <w:b/>
          <w:bCs/>
          <w:i/>
          <w:iCs/>
          <w:color w:val="000000" w:themeColor="text1"/>
          <w:sz w:val="24"/>
          <w:szCs w:val="24"/>
          <w:lang w:val="en-GB" w:eastAsia="en-GB"/>
        </w:rPr>
        <w:t>euprojects@cei.i</w:t>
      </w:r>
      <w:r w:rsidR="00AB6D12">
        <w:rPr>
          <w:rFonts w:asciiTheme="majorHAnsi" w:eastAsia="Times New Roman" w:hAnsiTheme="majorHAnsi" w:cstheme="majorHAnsi"/>
          <w:b/>
          <w:bCs/>
          <w:i/>
          <w:iCs/>
          <w:color w:val="000000" w:themeColor="text1"/>
          <w:sz w:val="24"/>
          <w:szCs w:val="24"/>
          <w:lang w:val="en-GB" w:eastAsia="en-GB"/>
        </w:rPr>
        <w:t>n</w:t>
      </w:r>
      <w:r w:rsidRPr="00273AFB">
        <w:rPr>
          <w:rFonts w:asciiTheme="majorHAnsi" w:eastAsia="Times New Roman" w:hAnsiTheme="majorHAnsi" w:cstheme="majorHAnsi"/>
          <w:b/>
          <w:bCs/>
          <w:i/>
          <w:iCs/>
          <w:color w:val="000000" w:themeColor="text1"/>
          <w:sz w:val="24"/>
          <w:szCs w:val="24"/>
          <w:lang w:val="en-GB" w:eastAsia="en-GB"/>
        </w:rPr>
        <w:t>t</w:t>
      </w:r>
    </w:p>
    <w:p w:rsidR="00DA1ABF" w:rsidRPr="008A09DF" w:rsidRDefault="00291968" w:rsidP="00DA1ABF">
      <w:pPr>
        <w:rPr>
          <w:rFonts w:asciiTheme="majorHAnsi" w:eastAsia="Times New Roman" w:hAnsiTheme="majorHAnsi" w:cstheme="majorHAnsi"/>
          <w:b/>
          <w:bCs/>
          <w:color w:val="0070C0"/>
          <w:sz w:val="36"/>
          <w:szCs w:val="36"/>
          <w:lang w:val="en-GB" w:eastAsia="en-GB"/>
        </w:rPr>
      </w:pPr>
      <w:r w:rsidRPr="00DF6703">
        <w:rPr>
          <w:rFonts w:asciiTheme="majorHAnsi" w:eastAsia="Times New Roman" w:hAnsiTheme="majorHAnsi" w:cstheme="majorHAnsi"/>
          <w:b/>
          <w:bCs/>
          <w:noProof/>
          <w:color w:val="0070C0"/>
          <w:sz w:val="36"/>
          <w:szCs w:val="36"/>
          <w:lang w:val="it-IT" w:eastAsia="it-IT"/>
        </w:rPr>
        <w:drawing>
          <wp:anchor distT="0" distB="0" distL="114300" distR="114300" simplePos="0" relativeHeight="251659264" behindDoc="1" locked="0" layoutInCell="1" allowOverlap="1">
            <wp:simplePos x="0" y="0"/>
            <wp:positionH relativeFrom="margin">
              <wp:align>right</wp:align>
            </wp:positionH>
            <wp:positionV relativeFrom="paragraph">
              <wp:posOffset>354330</wp:posOffset>
            </wp:positionV>
            <wp:extent cx="5731510" cy="4215765"/>
            <wp:effectExtent l="0" t="0" r="2540" b="0"/>
            <wp:wrapTight wrapText="bothSides">
              <wp:wrapPolygon edited="0">
                <wp:start x="0" y="0"/>
                <wp:lineTo x="0" y="21473"/>
                <wp:lineTo x="21538" y="21473"/>
                <wp:lineTo x="21538"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215765"/>
                    </a:xfrm>
                    <a:prstGeom prst="rect">
                      <a:avLst/>
                    </a:prstGeom>
                  </pic:spPr>
                </pic:pic>
              </a:graphicData>
            </a:graphic>
          </wp:anchor>
        </w:drawing>
      </w:r>
    </w:p>
    <w:p w:rsidR="00DA1ABF" w:rsidRPr="008A09DF" w:rsidRDefault="00DA1ABF" w:rsidP="00DA1ABF">
      <w:pPr>
        <w:rPr>
          <w:rFonts w:asciiTheme="majorHAnsi" w:eastAsia="Times New Roman" w:hAnsiTheme="majorHAnsi" w:cstheme="majorHAnsi"/>
          <w:b/>
          <w:bCs/>
          <w:color w:val="0070C0"/>
          <w:sz w:val="36"/>
          <w:szCs w:val="36"/>
          <w:lang w:val="en-GB" w:eastAsia="en-GB"/>
        </w:rPr>
      </w:pPr>
    </w:p>
    <w:p w:rsidR="00291968" w:rsidRDefault="00291968" w:rsidP="00291968">
      <w:pPr>
        <w:jc w:val="both"/>
        <w:rPr>
          <w:rFonts w:asciiTheme="majorHAnsi" w:eastAsia="Times New Roman" w:hAnsiTheme="majorHAnsi" w:cstheme="majorHAnsi"/>
          <w:b/>
          <w:bCs/>
          <w:color w:val="0070C0"/>
          <w:sz w:val="26"/>
          <w:szCs w:val="26"/>
          <w:lang w:val="en-GB" w:eastAsia="en-GB"/>
        </w:rPr>
      </w:pPr>
    </w:p>
    <w:p w:rsidR="00291968" w:rsidRPr="00291968" w:rsidRDefault="00291968" w:rsidP="00291968">
      <w:pPr>
        <w:jc w:val="both"/>
        <w:rPr>
          <w:rFonts w:asciiTheme="majorHAnsi" w:eastAsia="Times New Roman" w:hAnsiTheme="majorHAnsi" w:cstheme="majorHAnsi"/>
          <w:b/>
          <w:bCs/>
          <w:color w:val="0070C0"/>
          <w:sz w:val="26"/>
          <w:szCs w:val="26"/>
          <w:lang w:val="en-GB" w:eastAsia="en-GB"/>
        </w:rPr>
      </w:pPr>
      <w:r w:rsidRPr="00291968">
        <w:rPr>
          <w:rFonts w:asciiTheme="majorHAnsi" w:eastAsia="Times New Roman" w:hAnsiTheme="majorHAnsi" w:cstheme="majorHAnsi"/>
          <w:b/>
          <w:bCs/>
          <w:color w:val="0070C0"/>
          <w:sz w:val="26"/>
          <w:szCs w:val="26"/>
          <w:lang w:val="en-GB" w:eastAsia="en-GB"/>
        </w:rPr>
        <w:t>Introduction to SETAN</w:t>
      </w:r>
    </w:p>
    <w:p w:rsidR="00A65B6A" w:rsidRDefault="00A65B6A" w:rsidP="00A65B6A">
      <w:pPr>
        <w:jc w:val="both"/>
        <w:rPr>
          <w:sz w:val="24"/>
          <w:szCs w:val="24"/>
        </w:rPr>
      </w:pPr>
      <w:r w:rsidRPr="00C72719">
        <w:rPr>
          <w:sz w:val="24"/>
          <w:szCs w:val="24"/>
        </w:rPr>
        <w:t xml:space="preserve">The Social Enterprise </w:t>
      </w:r>
      <w:r w:rsidR="009A618F" w:rsidRPr="00C72719">
        <w:rPr>
          <w:sz w:val="24"/>
          <w:szCs w:val="24"/>
        </w:rPr>
        <w:t xml:space="preserve">Transnational </w:t>
      </w:r>
      <w:r w:rsidRPr="00C72719">
        <w:rPr>
          <w:sz w:val="24"/>
          <w:szCs w:val="24"/>
        </w:rPr>
        <w:t xml:space="preserve">Advocacy Network (SETAN) has been established in the framework of an INTERREG Central Europe project called SENTINEL by different organizations coming from 6 countries that shared the idea that social economy and social enterprises are crucial for the convergence of disadvantaged regions of Central Europe. </w:t>
      </w:r>
      <w:r w:rsidRPr="00C72719">
        <w:rPr>
          <w:b/>
          <w:bCs/>
          <w:sz w:val="24"/>
          <w:szCs w:val="24"/>
        </w:rPr>
        <w:t>SETAN aims at promoting and strengthening social enterprises’ vision and role in an effective manner in order to influence policies, programs and initiatives</w:t>
      </w:r>
      <w:r w:rsidRPr="00C72719">
        <w:rPr>
          <w:sz w:val="24"/>
          <w:szCs w:val="24"/>
        </w:rPr>
        <w:t xml:space="preserve"> and this will be done by improving knowledge and increasing awareness among governments, policy makers, EU officials, local communities, and other entities such as funding agencies, on issues affecting SEs.</w:t>
      </w:r>
    </w:p>
    <w:p w:rsidR="00C72719" w:rsidRPr="00C72719" w:rsidRDefault="00C72719" w:rsidP="00A65B6A">
      <w:pPr>
        <w:jc w:val="both"/>
        <w:rPr>
          <w:sz w:val="24"/>
          <w:szCs w:val="24"/>
        </w:rPr>
      </w:pPr>
    </w:p>
    <w:p w:rsidR="00291968" w:rsidRPr="00291968" w:rsidRDefault="00291968" w:rsidP="00291968">
      <w:pPr>
        <w:jc w:val="both"/>
        <w:rPr>
          <w:rFonts w:asciiTheme="majorHAnsi" w:eastAsia="Times New Roman" w:hAnsiTheme="majorHAnsi" w:cstheme="majorHAnsi"/>
          <w:b/>
          <w:bCs/>
          <w:color w:val="0070C0"/>
          <w:sz w:val="26"/>
          <w:szCs w:val="26"/>
          <w:lang w:val="en-GB" w:eastAsia="en-GB"/>
        </w:rPr>
      </w:pPr>
      <w:r w:rsidRPr="00291968">
        <w:rPr>
          <w:rFonts w:asciiTheme="majorHAnsi" w:eastAsia="Times New Roman" w:hAnsiTheme="majorHAnsi" w:cstheme="majorHAnsi"/>
          <w:b/>
          <w:bCs/>
          <w:color w:val="0070C0"/>
          <w:sz w:val="26"/>
          <w:szCs w:val="26"/>
          <w:lang w:val="en-GB" w:eastAsia="en-GB"/>
        </w:rPr>
        <w:t>Social Enterprises and Covid-19</w:t>
      </w:r>
    </w:p>
    <w:p w:rsidR="00C75A90" w:rsidRDefault="0064110F" w:rsidP="00C75A90">
      <w:pPr>
        <w:jc w:val="both"/>
        <w:rPr>
          <w:sz w:val="24"/>
          <w:szCs w:val="24"/>
        </w:rPr>
      </w:pPr>
      <w:r w:rsidRPr="00C72719">
        <w:rPr>
          <w:sz w:val="24"/>
          <w:szCs w:val="24"/>
        </w:rPr>
        <w:t xml:space="preserve">The Covid-19 health crisis gravely impacted social enterprises: loss of income and shortage of staff are only two of the significant challenges they are facing. Many have managed to adapt to the current situation; however, social enterprises are at risk of collapsing without proper support and understanding from public administrations. Moreover, the crisis affected people’s lives </w:t>
      </w:r>
      <w:r w:rsidR="00275694" w:rsidRPr="00C72719">
        <w:rPr>
          <w:sz w:val="24"/>
          <w:szCs w:val="24"/>
        </w:rPr>
        <w:t>insubstantially different ways and to varying degrees— highlighting underlying structural</w:t>
      </w:r>
      <w:r w:rsidR="00826E72">
        <w:rPr>
          <w:sz w:val="24"/>
          <w:szCs w:val="24"/>
        </w:rPr>
        <w:t xml:space="preserve"> inequalities across the globe. </w:t>
      </w:r>
      <w:r w:rsidR="00275694" w:rsidRPr="00C72719">
        <w:rPr>
          <w:sz w:val="24"/>
          <w:szCs w:val="24"/>
        </w:rPr>
        <w:t xml:space="preserve">Despite the difficult situation, social enterprises are assigning the recovery from the crisis by providing innovative solutions and strengthening public services to complement government action. </w:t>
      </w:r>
      <w:r w:rsidR="00C75A90" w:rsidRPr="00C72719">
        <w:rPr>
          <w:sz w:val="24"/>
          <w:szCs w:val="24"/>
        </w:rPr>
        <w:t xml:space="preserve">The activity of social enterprises has repeatedly proven to be capable of identifying and implementing alternative solutions to expand social innovation and social economy. This emergency has demonstrated the urgent need to rethink our economy. Thus, </w:t>
      </w:r>
      <w:r w:rsidR="00291968" w:rsidRPr="00C72719">
        <w:rPr>
          <w:sz w:val="24"/>
          <w:szCs w:val="24"/>
        </w:rPr>
        <w:t>during and after the crisis, social enterprises— in addition to their</w:t>
      </w:r>
      <w:r w:rsidR="00C75A90" w:rsidRPr="00C72719">
        <w:rPr>
          <w:sz w:val="24"/>
          <w:szCs w:val="24"/>
        </w:rPr>
        <w:t xml:space="preserve"> traditional</w:t>
      </w:r>
      <w:r w:rsidR="00291968" w:rsidRPr="00C72719">
        <w:rPr>
          <w:sz w:val="24"/>
          <w:szCs w:val="24"/>
        </w:rPr>
        <w:t xml:space="preserve"> purpose—</w:t>
      </w:r>
      <w:r w:rsidR="007D07F3" w:rsidRPr="00C72719">
        <w:rPr>
          <w:sz w:val="24"/>
          <w:szCs w:val="24"/>
        </w:rPr>
        <w:t>can develop a much larger role, inspiring transformation</w:t>
      </w:r>
      <w:r w:rsidR="00291968" w:rsidRPr="00C72719">
        <w:rPr>
          <w:sz w:val="24"/>
          <w:szCs w:val="24"/>
        </w:rPr>
        <w:t>,</w:t>
      </w:r>
      <w:r w:rsidR="007D07F3" w:rsidRPr="00C72719">
        <w:rPr>
          <w:sz w:val="24"/>
          <w:szCs w:val="24"/>
        </w:rPr>
        <w:t xml:space="preserve"> increasing efficiency and resilience throughout the socioeconomic framework.  </w:t>
      </w:r>
    </w:p>
    <w:p w:rsidR="00C72719" w:rsidRPr="00C72719" w:rsidRDefault="00C72719" w:rsidP="00C75A90">
      <w:pPr>
        <w:jc w:val="both"/>
        <w:rPr>
          <w:sz w:val="24"/>
          <w:szCs w:val="24"/>
        </w:rPr>
      </w:pPr>
    </w:p>
    <w:p w:rsidR="00291968" w:rsidRPr="00291968" w:rsidRDefault="00291968" w:rsidP="00291968">
      <w:pPr>
        <w:jc w:val="both"/>
        <w:rPr>
          <w:rFonts w:asciiTheme="majorHAnsi" w:eastAsia="Times New Roman" w:hAnsiTheme="majorHAnsi" w:cstheme="majorHAnsi"/>
          <w:b/>
          <w:bCs/>
          <w:color w:val="0070C0"/>
          <w:sz w:val="26"/>
          <w:szCs w:val="26"/>
          <w:lang w:val="en-GB" w:eastAsia="en-GB"/>
        </w:rPr>
      </w:pPr>
      <w:r w:rsidRPr="00291968">
        <w:rPr>
          <w:rFonts w:asciiTheme="majorHAnsi" w:eastAsia="Times New Roman" w:hAnsiTheme="majorHAnsi" w:cstheme="majorHAnsi"/>
          <w:b/>
          <w:bCs/>
          <w:color w:val="0070C0"/>
          <w:sz w:val="26"/>
          <w:szCs w:val="26"/>
          <w:lang w:val="en-GB" w:eastAsia="en-GB"/>
        </w:rPr>
        <w:t>Purpose of the Webinar</w:t>
      </w:r>
    </w:p>
    <w:p w:rsidR="00A65B6A" w:rsidRPr="00C72719" w:rsidRDefault="00A65B6A" w:rsidP="00A65B6A">
      <w:pPr>
        <w:jc w:val="both"/>
        <w:rPr>
          <w:sz w:val="24"/>
          <w:szCs w:val="24"/>
        </w:rPr>
      </w:pPr>
      <w:r w:rsidRPr="00C72719">
        <w:rPr>
          <w:sz w:val="24"/>
          <w:szCs w:val="24"/>
        </w:rPr>
        <w:t>The objective of the webinar “</w:t>
      </w:r>
      <w:r w:rsidRPr="00C72719">
        <w:rPr>
          <w:b/>
          <w:bCs/>
          <w:sz w:val="24"/>
          <w:szCs w:val="24"/>
        </w:rPr>
        <w:t>Social enterprises and COVID-19</w:t>
      </w:r>
      <w:r w:rsidRPr="00C72719">
        <w:rPr>
          <w:sz w:val="24"/>
          <w:szCs w:val="24"/>
        </w:rPr>
        <w:t xml:space="preserve">” is to provide information on the range and depth of the impact of the Covid19 health crisis on social enterprises. The public event will open with a brief presentation of the network’s activities followed by three main speeches focused on different aspects of social entrepreneurship and illustrating specific experiences and examples. </w:t>
      </w:r>
      <w:r w:rsidR="009C02DC" w:rsidRPr="00C72719">
        <w:rPr>
          <w:sz w:val="24"/>
          <w:szCs w:val="24"/>
        </w:rPr>
        <w:t xml:space="preserve">In the midst of the current health emergency, </w:t>
      </w:r>
      <w:r w:rsidR="0064110F" w:rsidRPr="00C72719">
        <w:rPr>
          <w:sz w:val="24"/>
          <w:szCs w:val="24"/>
        </w:rPr>
        <w:t>these</w:t>
      </w:r>
      <w:r w:rsidR="009C02DC" w:rsidRPr="00C72719">
        <w:rPr>
          <w:sz w:val="24"/>
          <w:szCs w:val="24"/>
        </w:rPr>
        <w:t xml:space="preserve"> contributions from experts aims at highlighting the numerous challenges affecting the very survival of social enterprises, ranging from accessibility to funding and support to protecting additionally damaged individuals from vulnerable groups. </w:t>
      </w:r>
    </w:p>
    <w:p w:rsidR="00273AFB" w:rsidRDefault="00273AFB">
      <w:pPr>
        <w:rPr>
          <w:rFonts w:asciiTheme="majorHAnsi" w:eastAsia="Times New Roman" w:hAnsiTheme="majorHAnsi" w:cstheme="majorHAnsi"/>
          <w:b/>
          <w:bCs/>
          <w:color w:val="0070C0"/>
          <w:sz w:val="26"/>
          <w:szCs w:val="26"/>
          <w:lang w:val="en-GB" w:eastAsia="en-GB"/>
        </w:rPr>
      </w:pPr>
      <w:r>
        <w:rPr>
          <w:rFonts w:eastAsia="Times New Roman" w:cstheme="majorHAnsi"/>
          <w:b/>
          <w:bCs/>
          <w:color w:val="0070C0"/>
          <w:sz w:val="26"/>
          <w:szCs w:val="26"/>
          <w:lang w:val="en-GB" w:eastAsia="en-GB"/>
        </w:rPr>
        <w:br w:type="page"/>
      </w:r>
    </w:p>
    <w:p w:rsidR="00C72719" w:rsidRDefault="00C72719" w:rsidP="00C72719">
      <w:pPr>
        <w:pStyle w:val="Titolo3"/>
        <w:spacing w:before="0" w:line="276" w:lineRule="auto"/>
        <w:rPr>
          <w:rFonts w:eastAsia="Times New Roman" w:cstheme="majorHAnsi"/>
          <w:b/>
          <w:bCs/>
          <w:color w:val="0070C0"/>
          <w:sz w:val="26"/>
          <w:szCs w:val="26"/>
          <w:lang w:val="en-GB" w:eastAsia="en-GB"/>
        </w:rPr>
      </w:pPr>
    </w:p>
    <w:p w:rsidR="004A3225" w:rsidRPr="004A3225" w:rsidRDefault="004A3225" w:rsidP="004A3225">
      <w:pPr>
        <w:rPr>
          <w:lang w:val="en-GB" w:eastAsia="en-GB"/>
        </w:rPr>
      </w:pPr>
    </w:p>
    <w:p w:rsidR="00C72719" w:rsidRPr="005B26AE" w:rsidRDefault="00C72719" w:rsidP="00C72719">
      <w:pPr>
        <w:pStyle w:val="Titolo3"/>
        <w:spacing w:before="0" w:line="276" w:lineRule="auto"/>
        <w:rPr>
          <w:rFonts w:eastAsia="Times New Roman" w:cstheme="majorHAnsi"/>
          <w:b/>
          <w:bCs/>
          <w:color w:val="0070C0"/>
          <w:sz w:val="26"/>
          <w:szCs w:val="26"/>
          <w:lang w:val="en-GB" w:eastAsia="en-GB"/>
        </w:rPr>
      </w:pPr>
      <w:r w:rsidRPr="005B26AE">
        <w:rPr>
          <w:rFonts w:eastAsia="Times New Roman" w:cstheme="majorHAnsi"/>
          <w:b/>
          <w:bCs/>
          <w:color w:val="0070C0"/>
          <w:sz w:val="26"/>
          <w:szCs w:val="26"/>
          <w:lang w:val="en-GB" w:eastAsia="en-GB"/>
        </w:rPr>
        <w:t>Agenda</w:t>
      </w:r>
    </w:p>
    <w:p w:rsidR="00C72719" w:rsidRPr="005B26AE" w:rsidRDefault="00C72719" w:rsidP="00C72719">
      <w:pPr>
        <w:rPr>
          <w:rFonts w:ascii="Calibri" w:hAnsi="Calibri" w:cs="Calibri"/>
          <w:color w:val="1F497D"/>
          <w:sz w:val="24"/>
          <w:szCs w:val="24"/>
          <w:lang w:val="en-GB"/>
        </w:rPr>
      </w:pPr>
    </w:p>
    <w:p w:rsidR="00C72719" w:rsidRDefault="00C72719" w:rsidP="00C72719">
      <w:pPr>
        <w:spacing w:after="80" w:line="240" w:lineRule="auto"/>
        <w:rPr>
          <w:rFonts w:ascii="Trebuchet MS" w:hAnsi="Trebuchet MS" w:cs="Calibri"/>
          <w:lang w:val="en-GB"/>
        </w:rPr>
      </w:pPr>
      <w:r w:rsidRPr="009879C9">
        <w:rPr>
          <w:rFonts w:ascii="Trebuchet MS" w:hAnsi="Trebuchet MS" w:cs="Calibri"/>
          <w:lang w:val="en-GB"/>
        </w:rPr>
        <w:t>10:00 – 10:10</w:t>
      </w:r>
      <w:r w:rsidRPr="007B3616">
        <w:rPr>
          <w:rFonts w:ascii="Trebuchet MS" w:hAnsi="Trebuchet MS" w:cs="Calibri"/>
          <w:u w:val="single"/>
          <w:lang w:val="en-GB"/>
        </w:rPr>
        <w:t xml:space="preserve"> Welcome and Presentation of the</w:t>
      </w:r>
      <w:r>
        <w:rPr>
          <w:rFonts w:ascii="Trebuchet MS" w:hAnsi="Trebuchet MS" w:cs="Calibri"/>
          <w:u w:val="single"/>
          <w:lang w:val="en-GB"/>
        </w:rPr>
        <w:t xml:space="preserve"> SETAN</w:t>
      </w:r>
    </w:p>
    <w:p w:rsidR="00C72719" w:rsidRPr="00DA56D3" w:rsidRDefault="00C72719" w:rsidP="00C72719">
      <w:pPr>
        <w:spacing w:after="80" w:line="240" w:lineRule="auto"/>
        <w:rPr>
          <w:rFonts w:ascii="Trebuchet MS" w:hAnsi="Trebuchet MS" w:cs="Calibri"/>
          <w:lang w:val="en-GB"/>
        </w:rPr>
      </w:pPr>
      <w:r w:rsidRPr="00EE77E9">
        <w:rPr>
          <w:rFonts w:ascii="Trebuchet MS" w:hAnsi="Trebuchet MS" w:cs="Calibri"/>
          <w:b/>
          <w:bCs/>
          <w:lang w:val="en-GB"/>
        </w:rPr>
        <w:t>Gian Matteo Apuzzo</w:t>
      </w:r>
      <w:r>
        <w:rPr>
          <w:rFonts w:ascii="Trebuchet MS" w:hAnsi="Trebuchet MS" w:cs="Calibri"/>
          <w:lang w:val="en-GB"/>
        </w:rPr>
        <w:t>(</w:t>
      </w:r>
      <w:r w:rsidRPr="00DA56D3">
        <w:rPr>
          <w:rFonts w:ascii="Trebuchet MS" w:hAnsi="Trebuchet MS" w:cs="Calibri"/>
          <w:lang w:val="en-GB"/>
        </w:rPr>
        <w:t>Central European Initiative-Executive Secretariat</w:t>
      </w:r>
      <w:r>
        <w:rPr>
          <w:rFonts w:ascii="Trebuchet MS" w:hAnsi="Trebuchet MS" w:cs="Calibri"/>
          <w:lang w:val="en-GB"/>
        </w:rPr>
        <w:t>)</w:t>
      </w:r>
    </w:p>
    <w:p w:rsidR="00C72719" w:rsidRDefault="00C72719" w:rsidP="00C72719">
      <w:pPr>
        <w:spacing w:after="80" w:line="240" w:lineRule="auto"/>
        <w:rPr>
          <w:rFonts w:ascii="Trebuchet MS" w:hAnsi="Trebuchet MS" w:cs="Calibri"/>
          <w:u w:val="single"/>
        </w:rPr>
      </w:pPr>
    </w:p>
    <w:p w:rsidR="00C72719" w:rsidRDefault="00C72719" w:rsidP="00C72719">
      <w:pPr>
        <w:spacing w:after="80" w:line="240" w:lineRule="auto"/>
        <w:rPr>
          <w:rFonts w:ascii="Trebuchet MS" w:hAnsi="Trebuchet MS" w:cs="Calibri"/>
          <w:u w:val="single"/>
        </w:rPr>
      </w:pPr>
    </w:p>
    <w:p w:rsidR="00C72719" w:rsidRPr="00DA56D3" w:rsidRDefault="00C72719" w:rsidP="00C72719">
      <w:pPr>
        <w:spacing w:after="80" w:line="240" w:lineRule="auto"/>
        <w:rPr>
          <w:rFonts w:ascii="Trebuchet MS" w:hAnsi="Trebuchet MS" w:cs="Calibri"/>
          <w:u w:val="single"/>
        </w:rPr>
      </w:pPr>
      <w:r w:rsidRPr="009879C9">
        <w:rPr>
          <w:rFonts w:ascii="Trebuchet MS" w:hAnsi="Trebuchet MS" w:cs="Calibri"/>
        </w:rPr>
        <w:t xml:space="preserve">10:10 – 10:25 </w:t>
      </w:r>
      <w:r>
        <w:rPr>
          <w:rFonts w:ascii="Trebuchet MS" w:hAnsi="Trebuchet MS" w:cs="Calibri"/>
          <w:u w:val="single"/>
        </w:rPr>
        <w:t>Impact of Covid-19 on social enterprises: overview and p</w:t>
      </w:r>
      <w:r w:rsidRPr="00DA56D3">
        <w:rPr>
          <w:rFonts w:ascii="Trebuchet MS" w:hAnsi="Trebuchet MS" w:cs="Calibri"/>
          <w:u w:val="single"/>
        </w:rPr>
        <w:t xml:space="preserve">olicy </w:t>
      </w:r>
      <w:r>
        <w:rPr>
          <w:rFonts w:ascii="Trebuchet MS" w:hAnsi="Trebuchet MS" w:cs="Calibri"/>
          <w:u w:val="single"/>
        </w:rPr>
        <w:t>implications</w:t>
      </w:r>
    </w:p>
    <w:p w:rsidR="00C72719" w:rsidRPr="009879C9" w:rsidRDefault="00C72719" w:rsidP="00C72719">
      <w:pPr>
        <w:spacing w:after="80" w:line="240" w:lineRule="auto"/>
        <w:rPr>
          <w:rFonts w:ascii="Trebuchet MS" w:hAnsi="Trebuchet MS" w:cs="Calibri"/>
        </w:rPr>
      </w:pPr>
      <w:r w:rsidRPr="009879C9">
        <w:rPr>
          <w:rFonts w:ascii="Trebuchet MS" w:hAnsi="Trebuchet MS" w:cs="Calibri"/>
          <w:b/>
          <w:bCs/>
        </w:rPr>
        <w:t xml:space="preserve">Suzanne Wisse-Huiskes </w:t>
      </w:r>
      <w:r w:rsidRPr="009879C9">
        <w:rPr>
          <w:rFonts w:ascii="Trebuchet MS" w:hAnsi="Trebuchet MS" w:cs="Calibri"/>
        </w:rPr>
        <w:t>(EUCLID Network)</w:t>
      </w:r>
    </w:p>
    <w:p w:rsidR="00C72719" w:rsidRPr="009879C9" w:rsidRDefault="00C72719" w:rsidP="00C72719">
      <w:pPr>
        <w:spacing w:after="80" w:line="240" w:lineRule="auto"/>
        <w:rPr>
          <w:rFonts w:ascii="Trebuchet MS" w:hAnsi="Trebuchet MS" w:cs="Calibri"/>
          <w:u w:val="single"/>
        </w:rPr>
      </w:pPr>
    </w:p>
    <w:p w:rsidR="00C72719" w:rsidRPr="007B3616" w:rsidRDefault="00C72719" w:rsidP="00C72719">
      <w:pPr>
        <w:spacing w:after="80" w:line="240" w:lineRule="auto"/>
        <w:rPr>
          <w:rFonts w:ascii="Trebuchet MS" w:hAnsi="Trebuchet MS" w:cs="Calibri"/>
          <w:u w:val="single"/>
        </w:rPr>
      </w:pPr>
      <w:r w:rsidRPr="009879C9">
        <w:rPr>
          <w:rFonts w:ascii="Trebuchet MS" w:hAnsi="Trebuchet MS" w:cs="Calibri"/>
        </w:rPr>
        <w:t xml:space="preserve">10:25 – 10:35 </w:t>
      </w:r>
      <w:r>
        <w:rPr>
          <w:rFonts w:ascii="Trebuchet MS" w:hAnsi="Trebuchet MS" w:cs="Calibri"/>
          <w:u w:val="single"/>
        </w:rPr>
        <w:t xml:space="preserve">Social enterprises and social inclusion in the Covid-19 pandemic </w:t>
      </w:r>
    </w:p>
    <w:p w:rsidR="00C72719" w:rsidRPr="009879C9" w:rsidRDefault="009A618F" w:rsidP="00C72719">
      <w:pPr>
        <w:spacing w:after="80" w:line="240" w:lineRule="auto"/>
        <w:rPr>
          <w:rFonts w:ascii="Trebuchet MS" w:hAnsi="Trebuchet MS" w:cs="Calibri"/>
        </w:rPr>
      </w:pPr>
      <w:r w:rsidRPr="009A618F">
        <w:rPr>
          <w:rFonts w:ascii="Trebuchet MS" w:hAnsi="Trebuchet MS" w:cs="Calibri"/>
          <w:b/>
          <w:bCs/>
        </w:rPr>
        <w:t>Jelena Ankic</w:t>
      </w:r>
      <w:r>
        <w:rPr>
          <w:rFonts w:ascii="Trebuchet MS" w:hAnsi="Trebuchet MS" w:cs="Calibri"/>
        </w:rPr>
        <w:t xml:space="preserve"> (</w:t>
      </w:r>
      <w:r w:rsidR="00C72719">
        <w:rPr>
          <w:rFonts w:ascii="Trebuchet MS" w:hAnsi="Trebuchet MS" w:cs="Calibri"/>
        </w:rPr>
        <w:t>SOCIETIES Project,</w:t>
      </w:r>
      <w:r w:rsidR="00C72719" w:rsidRPr="009879C9">
        <w:rPr>
          <w:rFonts w:ascii="Trebuchet MS" w:hAnsi="Trebuchet MS" w:cs="Calibri"/>
        </w:rPr>
        <w:t>C</w:t>
      </w:r>
      <w:r w:rsidR="00C72719">
        <w:rPr>
          <w:rFonts w:ascii="Trebuchet MS" w:hAnsi="Trebuchet MS" w:cs="Calibri"/>
        </w:rPr>
        <w:t>aritas Serbia</w:t>
      </w:r>
      <w:r>
        <w:rPr>
          <w:rFonts w:ascii="Trebuchet MS" w:hAnsi="Trebuchet MS" w:cs="Calibri"/>
        </w:rPr>
        <w:t>)</w:t>
      </w:r>
    </w:p>
    <w:p w:rsidR="00C72719" w:rsidRPr="009879C9" w:rsidRDefault="00C72719" w:rsidP="00C72719">
      <w:pPr>
        <w:spacing w:after="80" w:line="240" w:lineRule="auto"/>
        <w:rPr>
          <w:rFonts w:ascii="Trebuchet MS" w:hAnsi="Trebuchet MS" w:cs="Calibri"/>
        </w:rPr>
      </w:pPr>
    </w:p>
    <w:p w:rsidR="00C72719" w:rsidRPr="007B3616" w:rsidRDefault="00C72719" w:rsidP="00C72719">
      <w:pPr>
        <w:spacing w:after="80" w:line="240" w:lineRule="auto"/>
        <w:rPr>
          <w:rFonts w:ascii="Trebuchet MS" w:hAnsi="Trebuchet MS" w:cs="Calibri"/>
          <w:u w:val="single"/>
        </w:rPr>
      </w:pPr>
      <w:r w:rsidRPr="009879C9">
        <w:rPr>
          <w:rFonts w:ascii="Trebuchet MS" w:hAnsi="Trebuchet MS" w:cs="Calibri"/>
        </w:rPr>
        <w:t xml:space="preserve">10:35 – 10:45 </w:t>
      </w:r>
      <w:r>
        <w:rPr>
          <w:rFonts w:ascii="Trebuchet MS" w:hAnsi="Trebuchet MS" w:cs="Calibri"/>
          <w:u w:val="single"/>
        </w:rPr>
        <w:t>Social enterprises support services in response to Covid-19</w:t>
      </w:r>
    </w:p>
    <w:p w:rsidR="00C72719" w:rsidRPr="009879C9" w:rsidRDefault="00C72719" w:rsidP="00C72719">
      <w:pPr>
        <w:spacing w:after="80" w:line="240" w:lineRule="auto"/>
        <w:rPr>
          <w:rFonts w:ascii="Trebuchet MS" w:hAnsi="Trebuchet MS" w:cs="Calibri"/>
        </w:rPr>
      </w:pPr>
      <w:r w:rsidRPr="009879C9">
        <w:rPr>
          <w:rFonts w:ascii="Trebuchet MS" w:hAnsi="Trebuchet MS" w:cs="Calibri"/>
          <w:b/>
          <w:bCs/>
        </w:rPr>
        <w:t xml:space="preserve">Stefan Chichevaliev </w:t>
      </w:r>
      <w:r w:rsidRPr="009879C9">
        <w:rPr>
          <w:rFonts w:ascii="Trebuchet MS" w:hAnsi="Trebuchet MS" w:cs="Calibri"/>
        </w:rPr>
        <w:t>(Social Ent</w:t>
      </w:r>
      <w:r w:rsidR="009A618F">
        <w:rPr>
          <w:rFonts w:ascii="Trebuchet MS" w:hAnsi="Trebuchet MS" w:cs="Calibri"/>
        </w:rPr>
        <w:t>r</w:t>
      </w:r>
      <w:r w:rsidRPr="009879C9">
        <w:rPr>
          <w:rFonts w:ascii="Trebuchet MS" w:hAnsi="Trebuchet MS" w:cs="Calibri"/>
        </w:rPr>
        <w:t>epr</w:t>
      </w:r>
      <w:r w:rsidR="009A618F">
        <w:rPr>
          <w:rFonts w:ascii="Trebuchet MS" w:hAnsi="Trebuchet MS" w:cs="Calibri"/>
        </w:rPr>
        <w:t>eneurship</w:t>
      </w:r>
      <w:r w:rsidRPr="009879C9">
        <w:rPr>
          <w:rFonts w:ascii="Trebuchet MS" w:hAnsi="Trebuchet MS" w:cs="Calibri"/>
        </w:rPr>
        <w:t xml:space="preserve"> Observatory, Skopje)</w:t>
      </w:r>
    </w:p>
    <w:p w:rsidR="00C72719" w:rsidRPr="009879C9" w:rsidRDefault="00C72719" w:rsidP="00C72719">
      <w:pPr>
        <w:spacing w:after="80" w:line="240" w:lineRule="auto"/>
        <w:rPr>
          <w:rFonts w:ascii="Trebuchet MS" w:hAnsi="Trebuchet MS" w:cs="Calibri"/>
          <w:u w:val="single"/>
        </w:rPr>
      </w:pPr>
    </w:p>
    <w:p w:rsidR="00C72719" w:rsidRDefault="00C72719" w:rsidP="00C72719">
      <w:pPr>
        <w:spacing w:after="80" w:line="240" w:lineRule="auto"/>
        <w:rPr>
          <w:rFonts w:ascii="Trebuchet MS" w:hAnsi="Trebuchet MS" w:cs="Calibri"/>
          <w:u w:val="single"/>
        </w:rPr>
      </w:pPr>
      <w:r w:rsidRPr="009879C9">
        <w:rPr>
          <w:rFonts w:ascii="Trebuchet MS" w:hAnsi="Trebuchet MS" w:cs="Calibri"/>
        </w:rPr>
        <w:t xml:space="preserve">10:45 – 11:00 </w:t>
      </w:r>
      <w:r w:rsidRPr="007B3616">
        <w:rPr>
          <w:rFonts w:ascii="Trebuchet MS" w:hAnsi="Trebuchet MS" w:cs="Calibri"/>
          <w:u w:val="single"/>
        </w:rPr>
        <w:t>Discussion</w:t>
      </w:r>
      <w:r>
        <w:rPr>
          <w:rFonts w:ascii="Trebuchet MS" w:hAnsi="Trebuchet MS" w:cs="Calibri"/>
          <w:u w:val="single"/>
        </w:rPr>
        <w:t xml:space="preserve"> and conclusions</w:t>
      </w:r>
    </w:p>
    <w:p w:rsidR="00C72719" w:rsidRDefault="00C72719" w:rsidP="00A65B6A">
      <w:pPr>
        <w:jc w:val="both"/>
        <w:rPr>
          <w:rFonts w:asciiTheme="majorHAnsi" w:eastAsia="Times New Roman" w:hAnsiTheme="majorHAnsi" w:cstheme="majorHAnsi"/>
          <w:b/>
          <w:bCs/>
          <w:color w:val="0070C0"/>
          <w:sz w:val="26"/>
          <w:szCs w:val="26"/>
          <w:lang w:val="en-GB" w:eastAsia="en-GB"/>
        </w:rPr>
      </w:pPr>
    </w:p>
    <w:p w:rsidR="00D20B1B" w:rsidRDefault="00D20B1B" w:rsidP="00A65B6A">
      <w:pPr>
        <w:jc w:val="both"/>
        <w:rPr>
          <w:rFonts w:asciiTheme="majorHAnsi" w:eastAsia="Times New Roman" w:hAnsiTheme="majorHAnsi" w:cstheme="majorHAnsi"/>
          <w:b/>
          <w:bCs/>
          <w:color w:val="0070C0"/>
          <w:sz w:val="26"/>
          <w:szCs w:val="26"/>
          <w:lang w:val="en-GB" w:eastAsia="en-GB"/>
        </w:rPr>
      </w:pPr>
    </w:p>
    <w:p w:rsidR="00C72719" w:rsidRDefault="00C72719" w:rsidP="00A65B6A">
      <w:pPr>
        <w:jc w:val="both"/>
        <w:rPr>
          <w:rFonts w:asciiTheme="majorHAnsi" w:eastAsia="Times New Roman" w:hAnsiTheme="majorHAnsi" w:cstheme="majorHAnsi"/>
          <w:b/>
          <w:bCs/>
          <w:color w:val="0070C0"/>
          <w:sz w:val="26"/>
          <w:szCs w:val="26"/>
          <w:lang w:val="en-GB" w:eastAsia="en-GB"/>
        </w:rPr>
      </w:pPr>
    </w:p>
    <w:p w:rsidR="00C72719" w:rsidRDefault="00C72719" w:rsidP="00A65B6A">
      <w:pPr>
        <w:jc w:val="both"/>
        <w:rPr>
          <w:rFonts w:asciiTheme="majorHAnsi" w:eastAsia="Times New Roman" w:hAnsiTheme="majorHAnsi" w:cstheme="majorHAnsi"/>
          <w:b/>
          <w:bCs/>
          <w:color w:val="0070C0"/>
          <w:sz w:val="26"/>
          <w:szCs w:val="26"/>
          <w:lang w:val="en-GB" w:eastAsia="en-GB"/>
        </w:rPr>
      </w:pPr>
    </w:p>
    <w:p w:rsidR="00C72719" w:rsidRDefault="00C72719" w:rsidP="00A65B6A">
      <w:pPr>
        <w:jc w:val="both"/>
        <w:rPr>
          <w:rFonts w:asciiTheme="majorHAnsi" w:eastAsia="Times New Roman" w:hAnsiTheme="majorHAnsi" w:cstheme="majorHAnsi"/>
          <w:b/>
          <w:bCs/>
          <w:color w:val="0070C0"/>
          <w:sz w:val="26"/>
          <w:szCs w:val="26"/>
          <w:lang w:val="en-GB" w:eastAsia="en-GB"/>
        </w:rPr>
      </w:pPr>
    </w:p>
    <w:p w:rsidR="00C72719" w:rsidRDefault="00C72719" w:rsidP="00A65B6A">
      <w:pPr>
        <w:jc w:val="both"/>
        <w:rPr>
          <w:rFonts w:asciiTheme="majorHAnsi" w:eastAsia="Times New Roman" w:hAnsiTheme="majorHAnsi" w:cstheme="majorHAnsi"/>
          <w:b/>
          <w:bCs/>
          <w:color w:val="0070C0"/>
          <w:sz w:val="26"/>
          <w:szCs w:val="26"/>
          <w:lang w:val="en-GB" w:eastAsia="en-GB"/>
        </w:rPr>
      </w:pPr>
    </w:p>
    <w:p w:rsidR="007D07F3" w:rsidRPr="00C72719" w:rsidRDefault="007D07F3" w:rsidP="00A65B6A">
      <w:pPr>
        <w:jc w:val="both"/>
        <w:rPr>
          <w:rFonts w:asciiTheme="majorHAnsi" w:eastAsia="Times New Roman" w:hAnsiTheme="majorHAnsi" w:cstheme="majorHAnsi"/>
          <w:b/>
          <w:bCs/>
          <w:color w:val="0070C0"/>
          <w:lang w:val="en-GB" w:eastAsia="en-GB"/>
        </w:rPr>
      </w:pPr>
      <w:r w:rsidRPr="00C72719">
        <w:rPr>
          <w:rFonts w:asciiTheme="majorHAnsi" w:eastAsia="Times New Roman" w:hAnsiTheme="majorHAnsi" w:cstheme="majorHAnsi"/>
          <w:b/>
          <w:bCs/>
          <w:color w:val="0070C0"/>
          <w:lang w:val="en-GB" w:eastAsia="en-GB"/>
        </w:rPr>
        <w:t>References</w:t>
      </w:r>
    </w:p>
    <w:p w:rsidR="007D07F3" w:rsidRPr="00C72719" w:rsidRDefault="007D07F3" w:rsidP="00A65B6A">
      <w:pPr>
        <w:jc w:val="both"/>
      </w:pPr>
      <w:r w:rsidRPr="00C72719">
        <w:rPr>
          <w:i/>
          <w:iCs/>
        </w:rPr>
        <w:t>Social Enterprise and COVID-19</w:t>
      </w:r>
      <w:r w:rsidRPr="00C72719">
        <w:t xml:space="preserve">, Social Enterprise UK (2020) </w:t>
      </w:r>
      <w:hyperlink r:id="rId7" w:history="1">
        <w:r w:rsidRPr="00C72719">
          <w:rPr>
            <w:rStyle w:val="Collegamentoipertestuale"/>
          </w:rPr>
          <w:t>https://www.socialenterprise.org.uk/wp-content/uploads/2020/05/Social-Enterprise-COVID-19-research-report-2020.pdf</w:t>
        </w:r>
      </w:hyperlink>
    </w:p>
    <w:p w:rsidR="007D07F3" w:rsidRPr="00C72719" w:rsidRDefault="007D07F3" w:rsidP="00A65B6A">
      <w:pPr>
        <w:jc w:val="both"/>
      </w:pPr>
      <w:r w:rsidRPr="00C72719">
        <w:rPr>
          <w:i/>
          <w:iCs/>
        </w:rPr>
        <w:t>The Impact of Covid-19 on Social Economy Enterprises</w:t>
      </w:r>
      <w:r w:rsidRPr="00C72719">
        <w:t xml:space="preserve">, Social Economy Europe (2020) </w:t>
      </w:r>
      <w:hyperlink r:id="rId8" w:history="1">
        <w:r w:rsidRPr="00C72719">
          <w:rPr>
            <w:rStyle w:val="Collegamentoipertestuale"/>
          </w:rPr>
          <w:t>https://www.socialeconomy.eu.org/wp-content/uploads/2020/06/SEE-Report-The-impact-of-COVID-19-on-Social-Economy.pdf</w:t>
        </w:r>
      </w:hyperlink>
    </w:p>
    <w:p w:rsidR="0067546B" w:rsidRPr="00C72719" w:rsidRDefault="0067546B" w:rsidP="00C72719">
      <w:pPr>
        <w:jc w:val="both"/>
      </w:pPr>
      <w:r w:rsidRPr="00C72719">
        <w:rPr>
          <w:i/>
          <w:iCs/>
        </w:rPr>
        <w:t>Social economy and the COVID-19 crisis: current and future roles</w:t>
      </w:r>
      <w:r w:rsidRPr="00C72719">
        <w:t xml:space="preserve">, OECD (2020) </w:t>
      </w:r>
      <w:hyperlink r:id="rId9" w:history="1">
        <w:r w:rsidRPr="00C72719">
          <w:rPr>
            <w:rStyle w:val="Collegamentoipertestuale"/>
          </w:rPr>
          <w:t>http://www.oecd.org/coronavirus/policy-responses/social-economy-and-the-covid-19-crisis-current-and-future-roles-f904b89f/</w:t>
        </w:r>
      </w:hyperlink>
    </w:p>
    <w:sectPr w:rsidR="0067546B" w:rsidRPr="00C72719" w:rsidSect="00AE0A79">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50D" w:rsidRDefault="005F250D" w:rsidP="00DA1ABF">
      <w:pPr>
        <w:spacing w:after="0" w:line="240" w:lineRule="auto"/>
      </w:pPr>
      <w:r>
        <w:separator/>
      </w:r>
    </w:p>
  </w:endnote>
  <w:endnote w:type="continuationSeparator" w:id="1">
    <w:p w:rsidR="005F250D" w:rsidRDefault="005F250D" w:rsidP="00DA1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50D" w:rsidRDefault="005F250D" w:rsidP="00DA1ABF">
      <w:pPr>
        <w:spacing w:after="0" w:line="240" w:lineRule="auto"/>
      </w:pPr>
      <w:bookmarkStart w:id="0" w:name="_Hlk54622067"/>
      <w:bookmarkEnd w:id="0"/>
      <w:r>
        <w:separator/>
      </w:r>
    </w:p>
  </w:footnote>
  <w:footnote w:type="continuationSeparator" w:id="1">
    <w:p w:rsidR="005F250D" w:rsidRDefault="005F250D" w:rsidP="00DA1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BF" w:rsidRDefault="008A09DF" w:rsidP="00DA1ABF">
    <w:pPr>
      <w:pStyle w:val="Intestazione"/>
      <w:tabs>
        <w:tab w:val="clear" w:pos="4513"/>
      </w:tabs>
    </w:pPr>
    <w:r>
      <w:rPr>
        <w:noProof/>
        <w:lang w:val="it-IT" w:eastAsia="it-IT"/>
      </w:rPr>
      <w:drawing>
        <wp:anchor distT="0" distB="0" distL="114300" distR="114300" simplePos="0" relativeHeight="251659264" behindDoc="0" locked="0" layoutInCell="1" allowOverlap="1">
          <wp:simplePos x="0" y="0"/>
          <wp:positionH relativeFrom="margin">
            <wp:align>left</wp:align>
          </wp:positionH>
          <wp:positionV relativeFrom="paragraph">
            <wp:posOffset>-49530</wp:posOffset>
          </wp:positionV>
          <wp:extent cx="962025" cy="361950"/>
          <wp:effectExtent l="0" t="0" r="9525" b="0"/>
          <wp:wrapThrough wrapText="bothSides">
            <wp:wrapPolygon edited="0">
              <wp:start x="855" y="0"/>
              <wp:lineTo x="0" y="1137"/>
              <wp:lineTo x="0" y="19326"/>
              <wp:lineTo x="428" y="20463"/>
              <wp:lineTo x="21386" y="20463"/>
              <wp:lineTo x="21386" y="0"/>
              <wp:lineTo x="3422" y="0"/>
              <wp:lineTo x="8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361950"/>
                  </a:xfrm>
                  <a:prstGeom prst="rect">
                    <a:avLst/>
                  </a:prstGeom>
                  <a:noFill/>
                </pic:spPr>
              </pic:pic>
            </a:graphicData>
          </a:graphic>
        </wp:anchor>
      </w:drawing>
    </w:r>
    <w:r>
      <w:rPr>
        <w:noProof/>
        <w:lang w:val="it-IT" w:eastAsia="it-IT"/>
      </w:rPr>
      <w:drawing>
        <wp:anchor distT="0" distB="0" distL="114300" distR="114300" simplePos="0" relativeHeight="251658240" behindDoc="0" locked="0" layoutInCell="1" allowOverlap="1">
          <wp:simplePos x="0" y="0"/>
          <wp:positionH relativeFrom="margin">
            <wp:align>right</wp:align>
          </wp:positionH>
          <wp:positionV relativeFrom="paragraph">
            <wp:posOffset>-230505</wp:posOffset>
          </wp:positionV>
          <wp:extent cx="981075" cy="600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600075"/>
                  </a:xfrm>
                  <a:prstGeom prst="rect">
                    <a:avLst/>
                  </a:prstGeom>
                  <a:noFill/>
                  <a:ln>
                    <a:noFill/>
                  </a:ln>
                </pic:spPr>
              </pic:pic>
            </a:graphicData>
          </a:graphic>
        </wp:anchor>
      </w:drawing>
    </w:r>
  </w:p>
  <w:p w:rsidR="00DA1ABF" w:rsidRDefault="00DA1ABF" w:rsidP="00DA1ABF">
    <w:pPr>
      <w:pStyle w:val="Intestazione"/>
      <w:tabs>
        <w:tab w:val="clear" w:pos="4513"/>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1026C2"/>
    <w:rsid w:val="00040FA8"/>
    <w:rsid w:val="000F7011"/>
    <w:rsid w:val="000F70E5"/>
    <w:rsid w:val="001026C2"/>
    <w:rsid w:val="00203F6C"/>
    <w:rsid w:val="00257E33"/>
    <w:rsid w:val="00273AFB"/>
    <w:rsid w:val="00275694"/>
    <w:rsid w:val="00291968"/>
    <w:rsid w:val="002F17E2"/>
    <w:rsid w:val="00405EA9"/>
    <w:rsid w:val="004A3225"/>
    <w:rsid w:val="00554BB0"/>
    <w:rsid w:val="005A51F8"/>
    <w:rsid w:val="005B26AE"/>
    <w:rsid w:val="005F250D"/>
    <w:rsid w:val="005F46B6"/>
    <w:rsid w:val="0064110F"/>
    <w:rsid w:val="0067546B"/>
    <w:rsid w:val="006B7290"/>
    <w:rsid w:val="006C20BE"/>
    <w:rsid w:val="00792869"/>
    <w:rsid w:val="007B649A"/>
    <w:rsid w:val="007C34A7"/>
    <w:rsid w:val="007D07F3"/>
    <w:rsid w:val="008017F3"/>
    <w:rsid w:val="00826E72"/>
    <w:rsid w:val="00875E4A"/>
    <w:rsid w:val="008A09DF"/>
    <w:rsid w:val="0090177B"/>
    <w:rsid w:val="009316BC"/>
    <w:rsid w:val="009A618F"/>
    <w:rsid w:val="009C02DC"/>
    <w:rsid w:val="00A65B6A"/>
    <w:rsid w:val="00AB6D12"/>
    <w:rsid w:val="00AE0A79"/>
    <w:rsid w:val="00AF1CB2"/>
    <w:rsid w:val="00B25082"/>
    <w:rsid w:val="00B52BEF"/>
    <w:rsid w:val="00BE1855"/>
    <w:rsid w:val="00C02936"/>
    <w:rsid w:val="00C4080A"/>
    <w:rsid w:val="00C72719"/>
    <w:rsid w:val="00C75A90"/>
    <w:rsid w:val="00C81D43"/>
    <w:rsid w:val="00C87E5B"/>
    <w:rsid w:val="00CB2C9D"/>
    <w:rsid w:val="00CD7554"/>
    <w:rsid w:val="00D20B1B"/>
    <w:rsid w:val="00DA1ABF"/>
    <w:rsid w:val="00DC66F8"/>
    <w:rsid w:val="00E26E63"/>
    <w:rsid w:val="00E408CB"/>
    <w:rsid w:val="00E41433"/>
    <w:rsid w:val="00E55BAD"/>
    <w:rsid w:val="00F02891"/>
    <w:rsid w:val="00F224B2"/>
    <w:rsid w:val="00FE72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A79"/>
    <w:rPr>
      <w:lang w:val="en-US"/>
    </w:rPr>
  </w:style>
  <w:style w:type="paragraph" w:styleId="Titolo1">
    <w:name w:val="heading 1"/>
    <w:basedOn w:val="Normale"/>
    <w:link w:val="Titolo1Carattere"/>
    <w:uiPriority w:val="9"/>
    <w:qFormat/>
    <w:rsid w:val="001026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Titolo3">
    <w:name w:val="heading 3"/>
    <w:basedOn w:val="Normale"/>
    <w:next w:val="Normale"/>
    <w:link w:val="Titolo3Carattere"/>
    <w:uiPriority w:val="9"/>
    <w:semiHidden/>
    <w:unhideWhenUsed/>
    <w:qFormat/>
    <w:rsid w:val="005B26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26C2"/>
    <w:rPr>
      <w:rFonts w:ascii="Times New Roman" w:eastAsia="Times New Roman" w:hAnsi="Times New Roman" w:cs="Times New Roman"/>
      <w:b/>
      <w:bCs/>
      <w:kern w:val="36"/>
      <w:sz w:val="48"/>
      <w:szCs w:val="48"/>
      <w:lang w:val="en-GB" w:eastAsia="en-GB"/>
    </w:rPr>
  </w:style>
  <w:style w:type="paragraph" w:styleId="NormaleWeb">
    <w:name w:val="Normal (Web)"/>
    <w:basedOn w:val="Normale"/>
    <w:uiPriority w:val="99"/>
    <w:semiHidden/>
    <w:unhideWhenUsed/>
    <w:rsid w:val="001026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iPriority w:val="99"/>
    <w:unhideWhenUsed/>
    <w:rsid w:val="00DA1AB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A1ABF"/>
    <w:rPr>
      <w:lang w:val="en-US"/>
    </w:rPr>
  </w:style>
  <w:style w:type="paragraph" w:styleId="Pidipagina">
    <w:name w:val="footer"/>
    <w:basedOn w:val="Normale"/>
    <w:link w:val="PidipaginaCarattere"/>
    <w:uiPriority w:val="99"/>
    <w:unhideWhenUsed/>
    <w:rsid w:val="00DA1AB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A1ABF"/>
    <w:rPr>
      <w:lang w:val="en-US"/>
    </w:rPr>
  </w:style>
  <w:style w:type="character" w:styleId="Collegamentoipertestuale">
    <w:name w:val="Hyperlink"/>
    <w:basedOn w:val="Carpredefinitoparagrafo"/>
    <w:uiPriority w:val="99"/>
    <w:unhideWhenUsed/>
    <w:rsid w:val="007D07F3"/>
    <w:rPr>
      <w:color w:val="0563C1" w:themeColor="hyperlink"/>
      <w:u w:val="single"/>
    </w:rPr>
  </w:style>
  <w:style w:type="character" w:customStyle="1" w:styleId="Menzionenonrisolta1">
    <w:name w:val="Menzione non risolta1"/>
    <w:basedOn w:val="Carpredefinitoparagrafo"/>
    <w:uiPriority w:val="99"/>
    <w:semiHidden/>
    <w:unhideWhenUsed/>
    <w:rsid w:val="007D07F3"/>
    <w:rPr>
      <w:color w:val="605E5C"/>
      <w:shd w:val="clear" w:color="auto" w:fill="E1DFDD"/>
    </w:rPr>
  </w:style>
  <w:style w:type="character" w:customStyle="1" w:styleId="Titolo3Carattere">
    <w:name w:val="Titolo 3 Carattere"/>
    <w:basedOn w:val="Carpredefinitoparagrafo"/>
    <w:link w:val="Titolo3"/>
    <w:uiPriority w:val="9"/>
    <w:semiHidden/>
    <w:rsid w:val="005B26AE"/>
    <w:rPr>
      <w:rFonts w:asciiTheme="majorHAnsi" w:eastAsiaTheme="majorEastAsia" w:hAnsiTheme="majorHAnsi" w:cstheme="majorBidi"/>
      <w:color w:val="1F3763" w:themeColor="accent1" w:themeShade="7F"/>
      <w:sz w:val="24"/>
      <w:szCs w:val="24"/>
      <w:lang w:val="en-US"/>
    </w:rPr>
  </w:style>
  <w:style w:type="character" w:customStyle="1" w:styleId="UnresolvedMention">
    <w:name w:val="Unresolved Mention"/>
    <w:basedOn w:val="Carpredefinitoparagrafo"/>
    <w:uiPriority w:val="99"/>
    <w:semiHidden/>
    <w:unhideWhenUsed/>
    <w:rsid w:val="00040F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8204735">
      <w:bodyDiv w:val="1"/>
      <w:marLeft w:val="0"/>
      <w:marRight w:val="0"/>
      <w:marTop w:val="0"/>
      <w:marBottom w:val="0"/>
      <w:divBdr>
        <w:top w:val="none" w:sz="0" w:space="0" w:color="auto"/>
        <w:left w:val="none" w:sz="0" w:space="0" w:color="auto"/>
        <w:bottom w:val="none" w:sz="0" w:space="0" w:color="auto"/>
        <w:right w:val="none" w:sz="0" w:space="0" w:color="auto"/>
      </w:divBdr>
    </w:div>
    <w:div w:id="245310487">
      <w:bodyDiv w:val="1"/>
      <w:marLeft w:val="0"/>
      <w:marRight w:val="0"/>
      <w:marTop w:val="0"/>
      <w:marBottom w:val="0"/>
      <w:divBdr>
        <w:top w:val="none" w:sz="0" w:space="0" w:color="auto"/>
        <w:left w:val="none" w:sz="0" w:space="0" w:color="auto"/>
        <w:bottom w:val="none" w:sz="0" w:space="0" w:color="auto"/>
        <w:right w:val="none" w:sz="0" w:space="0" w:color="auto"/>
      </w:divBdr>
    </w:div>
    <w:div w:id="742458582">
      <w:bodyDiv w:val="1"/>
      <w:marLeft w:val="0"/>
      <w:marRight w:val="0"/>
      <w:marTop w:val="0"/>
      <w:marBottom w:val="0"/>
      <w:divBdr>
        <w:top w:val="none" w:sz="0" w:space="0" w:color="auto"/>
        <w:left w:val="none" w:sz="0" w:space="0" w:color="auto"/>
        <w:bottom w:val="none" w:sz="0" w:space="0" w:color="auto"/>
        <w:right w:val="none" w:sz="0" w:space="0" w:color="auto"/>
      </w:divBdr>
    </w:div>
    <w:div w:id="826088973">
      <w:bodyDiv w:val="1"/>
      <w:marLeft w:val="0"/>
      <w:marRight w:val="0"/>
      <w:marTop w:val="0"/>
      <w:marBottom w:val="0"/>
      <w:divBdr>
        <w:top w:val="none" w:sz="0" w:space="0" w:color="auto"/>
        <w:left w:val="none" w:sz="0" w:space="0" w:color="auto"/>
        <w:bottom w:val="none" w:sz="0" w:space="0" w:color="auto"/>
        <w:right w:val="none" w:sz="0" w:space="0" w:color="auto"/>
      </w:divBdr>
    </w:div>
    <w:div w:id="873271325">
      <w:bodyDiv w:val="1"/>
      <w:marLeft w:val="0"/>
      <w:marRight w:val="0"/>
      <w:marTop w:val="0"/>
      <w:marBottom w:val="0"/>
      <w:divBdr>
        <w:top w:val="none" w:sz="0" w:space="0" w:color="auto"/>
        <w:left w:val="none" w:sz="0" w:space="0" w:color="auto"/>
        <w:bottom w:val="none" w:sz="0" w:space="0" w:color="auto"/>
        <w:right w:val="none" w:sz="0" w:space="0" w:color="auto"/>
      </w:divBdr>
    </w:div>
    <w:div w:id="1210650085">
      <w:bodyDiv w:val="1"/>
      <w:marLeft w:val="0"/>
      <w:marRight w:val="0"/>
      <w:marTop w:val="0"/>
      <w:marBottom w:val="0"/>
      <w:divBdr>
        <w:top w:val="none" w:sz="0" w:space="0" w:color="auto"/>
        <w:left w:val="none" w:sz="0" w:space="0" w:color="auto"/>
        <w:bottom w:val="none" w:sz="0" w:space="0" w:color="auto"/>
        <w:right w:val="none" w:sz="0" w:space="0" w:color="auto"/>
      </w:divBdr>
    </w:div>
    <w:div w:id="1352223428">
      <w:bodyDiv w:val="1"/>
      <w:marLeft w:val="0"/>
      <w:marRight w:val="0"/>
      <w:marTop w:val="0"/>
      <w:marBottom w:val="0"/>
      <w:divBdr>
        <w:top w:val="none" w:sz="0" w:space="0" w:color="auto"/>
        <w:left w:val="none" w:sz="0" w:space="0" w:color="auto"/>
        <w:bottom w:val="none" w:sz="0" w:space="0" w:color="auto"/>
        <w:right w:val="none" w:sz="0" w:space="0" w:color="auto"/>
      </w:divBdr>
    </w:div>
    <w:div w:id="1613322414">
      <w:bodyDiv w:val="1"/>
      <w:marLeft w:val="0"/>
      <w:marRight w:val="0"/>
      <w:marTop w:val="0"/>
      <w:marBottom w:val="0"/>
      <w:divBdr>
        <w:top w:val="none" w:sz="0" w:space="0" w:color="auto"/>
        <w:left w:val="none" w:sz="0" w:space="0" w:color="auto"/>
        <w:bottom w:val="none" w:sz="0" w:space="0" w:color="auto"/>
        <w:right w:val="none" w:sz="0" w:space="0" w:color="auto"/>
      </w:divBdr>
    </w:div>
    <w:div w:id="1648633647">
      <w:bodyDiv w:val="1"/>
      <w:marLeft w:val="0"/>
      <w:marRight w:val="0"/>
      <w:marTop w:val="0"/>
      <w:marBottom w:val="0"/>
      <w:divBdr>
        <w:top w:val="none" w:sz="0" w:space="0" w:color="auto"/>
        <w:left w:val="none" w:sz="0" w:space="0" w:color="auto"/>
        <w:bottom w:val="none" w:sz="0" w:space="0" w:color="auto"/>
        <w:right w:val="none" w:sz="0" w:space="0" w:color="auto"/>
      </w:divBdr>
    </w:div>
    <w:div w:id="19648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conomy.eu.org/wp-content/uploads/2020/06/SEE-Report-The-impact-of-COVID-19-on-Social-Economy.pdf" TargetMode="External"/><Relationship Id="rId3" Type="http://schemas.openxmlformats.org/officeDocument/2006/relationships/webSettings" Target="webSettings.xml"/><Relationship Id="rId7" Type="http://schemas.openxmlformats.org/officeDocument/2006/relationships/hyperlink" Target="https://www.socialenterprise.org.uk/wp-content/uploads/2020/05/Social-Enterprise-COVID-19-research-report-202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ecd.org/coronavirus/policy-responses/social-economy-and-the-covid-19-crisis-current-and-future-roles-f904b89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Mingolla</dc:creator>
  <cp:lastModifiedBy>ALIDA</cp:lastModifiedBy>
  <cp:revision>2</cp:revision>
  <dcterms:created xsi:type="dcterms:W3CDTF">2020-11-02T08:49:00Z</dcterms:created>
  <dcterms:modified xsi:type="dcterms:W3CDTF">2020-11-02T08:49:00Z</dcterms:modified>
</cp:coreProperties>
</file>